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6C512FB" w14:textId="77777777" w:rsidTr="00FB30EC">
        <w:tc>
          <w:tcPr>
            <w:tcW w:w="5637" w:type="dxa"/>
          </w:tcPr>
          <w:p w14:paraId="5F4EA2B6" w14:textId="77777777" w:rsidR="00FB30EC" w:rsidRPr="00D31651" w:rsidRDefault="00FB30EC" w:rsidP="00FB30EC">
            <w:pPr>
              <w:pStyle w:val="Header"/>
              <w:tabs>
                <w:tab w:val="left" w:pos="720"/>
              </w:tabs>
              <w:rPr>
                <w:rFonts w:ascii="Arial" w:hAnsi="Arial" w:cs="Arial"/>
              </w:rPr>
            </w:pPr>
          </w:p>
        </w:tc>
      </w:tr>
      <w:tr w:rsidR="00FB30EC" w:rsidRPr="00D31651" w14:paraId="5BC75FD5" w14:textId="77777777" w:rsidTr="00FB30EC">
        <w:tc>
          <w:tcPr>
            <w:tcW w:w="5637" w:type="dxa"/>
          </w:tcPr>
          <w:p w14:paraId="3176127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9AFD6B9"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9CD291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EAEEFF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38389393" w14:textId="77777777" w:rsidR="00FB30EC" w:rsidRDefault="00FB30EC" w:rsidP="00FB30EC">
            <w:pPr>
              <w:pStyle w:val="Header"/>
              <w:tabs>
                <w:tab w:val="left" w:pos="720"/>
              </w:tabs>
              <w:rPr>
                <w:rFonts w:ascii="Arial" w:hAnsi="Arial" w:cs="Arial"/>
                <w:sz w:val="20"/>
                <w:szCs w:val="20"/>
              </w:rPr>
            </w:pPr>
          </w:p>
          <w:p w14:paraId="6D8234C2" w14:textId="77777777" w:rsidR="00FB30EC" w:rsidRPr="00D31651" w:rsidRDefault="00FB30EC" w:rsidP="00FB30EC">
            <w:pPr>
              <w:pStyle w:val="Header"/>
              <w:tabs>
                <w:tab w:val="left" w:pos="720"/>
              </w:tabs>
              <w:rPr>
                <w:rFonts w:ascii="Arial" w:hAnsi="Arial" w:cs="Arial"/>
                <w:sz w:val="20"/>
                <w:szCs w:val="20"/>
              </w:rPr>
            </w:pPr>
          </w:p>
          <w:p w14:paraId="372EE5D2" w14:textId="7E3EED32"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E50634">
              <w:rPr>
                <w:rFonts w:ascii="Arial" w:hAnsi="Arial" w:cs="Arial"/>
              </w:rPr>
              <w:t>9 October 2026</w:t>
            </w:r>
          </w:p>
          <w:p w14:paraId="1D338022" w14:textId="77777777" w:rsidR="00FB30EC" w:rsidRPr="00D31651" w:rsidRDefault="00FB30EC" w:rsidP="00FB30EC">
            <w:pPr>
              <w:pStyle w:val="Header"/>
              <w:tabs>
                <w:tab w:val="left" w:pos="720"/>
              </w:tabs>
              <w:rPr>
                <w:rFonts w:ascii="Arial" w:hAnsi="Arial" w:cs="Arial"/>
              </w:rPr>
            </w:pPr>
          </w:p>
        </w:tc>
      </w:tr>
      <w:tr w:rsidR="00FB30EC" w:rsidRPr="00D31651" w14:paraId="42E70B22" w14:textId="77777777" w:rsidTr="00FB30EC">
        <w:tc>
          <w:tcPr>
            <w:tcW w:w="5637" w:type="dxa"/>
          </w:tcPr>
          <w:p w14:paraId="0AB45329" w14:textId="77777777" w:rsidR="00FB30EC" w:rsidRPr="00D31651" w:rsidRDefault="00FB30EC" w:rsidP="00FB30EC">
            <w:pPr>
              <w:tabs>
                <w:tab w:val="left" w:pos="1350"/>
              </w:tabs>
              <w:rPr>
                <w:rFonts w:ascii="Arial" w:hAnsi="Arial" w:cs="Arial"/>
                <w:szCs w:val="20"/>
              </w:rPr>
            </w:pPr>
          </w:p>
        </w:tc>
      </w:tr>
      <w:tr w:rsidR="00FB30EC" w:rsidRPr="00D31651" w14:paraId="6BCC224C" w14:textId="77777777" w:rsidTr="00FB30EC">
        <w:tc>
          <w:tcPr>
            <w:tcW w:w="5637" w:type="dxa"/>
          </w:tcPr>
          <w:p w14:paraId="34A2FCE1" w14:textId="77777777" w:rsidR="00FB30EC" w:rsidRPr="00D31651" w:rsidRDefault="00FB30EC" w:rsidP="00FB30EC">
            <w:pPr>
              <w:tabs>
                <w:tab w:val="left" w:pos="1350"/>
              </w:tabs>
              <w:rPr>
                <w:rFonts w:ascii="Arial" w:hAnsi="Arial" w:cs="Arial"/>
                <w:szCs w:val="20"/>
              </w:rPr>
            </w:pPr>
          </w:p>
        </w:tc>
      </w:tr>
      <w:tr w:rsidR="00FB30EC" w:rsidRPr="00D31651" w14:paraId="43AE1944" w14:textId="77777777" w:rsidTr="00FB30EC">
        <w:tc>
          <w:tcPr>
            <w:tcW w:w="5637" w:type="dxa"/>
          </w:tcPr>
          <w:p w14:paraId="114CA04B" w14:textId="77777777" w:rsidR="00FB30EC" w:rsidRPr="00D31651" w:rsidRDefault="00FB30EC" w:rsidP="00FB30EC">
            <w:pPr>
              <w:tabs>
                <w:tab w:val="left" w:pos="1350"/>
              </w:tabs>
              <w:rPr>
                <w:rFonts w:ascii="Arial" w:hAnsi="Arial" w:cs="Arial"/>
                <w:szCs w:val="20"/>
              </w:rPr>
            </w:pPr>
          </w:p>
        </w:tc>
      </w:tr>
      <w:tr w:rsidR="00FB30EC" w:rsidRPr="00D31651" w14:paraId="2E3A6AAA" w14:textId="77777777" w:rsidTr="00FB30EC">
        <w:tc>
          <w:tcPr>
            <w:tcW w:w="5637" w:type="dxa"/>
          </w:tcPr>
          <w:p w14:paraId="090C0C24" w14:textId="77777777" w:rsidR="00FB30EC" w:rsidRPr="00D31651" w:rsidRDefault="00FB30EC" w:rsidP="00FB30EC">
            <w:pPr>
              <w:tabs>
                <w:tab w:val="left" w:pos="1350"/>
              </w:tabs>
              <w:rPr>
                <w:rFonts w:ascii="Arial" w:hAnsi="Arial" w:cs="Arial"/>
                <w:szCs w:val="20"/>
              </w:rPr>
            </w:pPr>
          </w:p>
        </w:tc>
      </w:tr>
      <w:tr w:rsidR="00FB30EC" w:rsidRPr="00D31651" w14:paraId="296A4CCD" w14:textId="77777777" w:rsidTr="00FB30EC">
        <w:tc>
          <w:tcPr>
            <w:tcW w:w="5637" w:type="dxa"/>
          </w:tcPr>
          <w:p w14:paraId="121ACE55" w14:textId="77777777" w:rsidR="00FB30EC" w:rsidRPr="00D31651" w:rsidRDefault="00FB30EC" w:rsidP="00FB30EC">
            <w:pPr>
              <w:tabs>
                <w:tab w:val="left" w:pos="1350"/>
              </w:tabs>
              <w:rPr>
                <w:rFonts w:ascii="Arial" w:hAnsi="Arial" w:cs="Arial"/>
                <w:szCs w:val="20"/>
              </w:rPr>
            </w:pPr>
          </w:p>
        </w:tc>
      </w:tr>
      <w:tr w:rsidR="00FB30EC" w:rsidRPr="00D31651" w14:paraId="20C38BEC" w14:textId="77777777" w:rsidTr="00FB30EC">
        <w:trPr>
          <w:trHeight w:val="80"/>
        </w:trPr>
        <w:tc>
          <w:tcPr>
            <w:tcW w:w="5637" w:type="dxa"/>
          </w:tcPr>
          <w:p w14:paraId="6E11179B" w14:textId="77777777" w:rsidR="00FB30EC" w:rsidRPr="00D31651" w:rsidRDefault="00FB30EC" w:rsidP="00FB30EC">
            <w:pPr>
              <w:tabs>
                <w:tab w:val="left" w:pos="1350"/>
              </w:tabs>
              <w:rPr>
                <w:rFonts w:ascii="Arial" w:hAnsi="Arial" w:cs="Arial"/>
                <w:szCs w:val="20"/>
              </w:rPr>
            </w:pPr>
          </w:p>
        </w:tc>
      </w:tr>
    </w:tbl>
    <w:p w14:paraId="08DBA4E5"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D519598" w14:textId="3EAFE9EA" w:rsidR="008E72E9" w:rsidRPr="007F4E77" w:rsidRDefault="001E6494" w:rsidP="008E72E9">
      <w:pPr>
        <w:ind w:left="851"/>
        <w:jc w:val="right"/>
        <w:rPr>
          <w:rFonts w:ascii="Arial Narrow" w:hAnsi="Arial Narrow" w:cs="Arial"/>
          <w:b/>
          <w:color w:val="330099"/>
          <w:sz w:val="22"/>
          <w:szCs w:val="22"/>
        </w:rPr>
      </w:pPr>
      <w:r>
        <w:rPr>
          <w:rFonts w:ascii="Arial Narrow" w:hAnsi="Arial Narrow" w:cs="Arial"/>
          <w:b/>
          <w:color w:val="330099"/>
          <w:sz w:val="22"/>
          <w:szCs w:val="22"/>
        </w:rPr>
        <w:t xml:space="preserve">Interim </w:t>
      </w:r>
      <w:r w:rsidR="00A83727">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w:t>
      </w:r>
      <w:r>
        <w:rPr>
          <w:rFonts w:ascii="Arial Narrow" w:hAnsi="Arial Narrow" w:cs="Arial"/>
          <w:b/>
          <w:color w:val="330099"/>
          <w:sz w:val="22"/>
          <w:szCs w:val="22"/>
        </w:rPr>
        <w:t>Gemma Parkinson</w:t>
      </w:r>
    </w:p>
    <w:p w14:paraId="6DE4CF1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E9B4B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9C5D6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5C58B0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672C21E"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B8DAC12" w14:textId="77777777" w:rsidR="008E72E9" w:rsidRPr="007F4E77" w:rsidRDefault="008E72E9" w:rsidP="008E72E9">
      <w:pPr>
        <w:pStyle w:val="Heading1"/>
        <w:spacing w:after="0"/>
        <w:ind w:left="0"/>
        <w:rPr>
          <w:b w:val="0"/>
        </w:rPr>
      </w:pPr>
      <w:r w:rsidRPr="007F4E77">
        <w:rPr>
          <w:b w:val="0"/>
        </w:rPr>
        <w:t>Contact: Senior Information Governance Officer</w:t>
      </w:r>
    </w:p>
    <w:p w14:paraId="050F3111" w14:textId="77777777" w:rsidR="008E72E9" w:rsidRPr="007F4E77" w:rsidRDefault="008E72E9" w:rsidP="008E72E9">
      <w:pPr>
        <w:pStyle w:val="Heading1"/>
        <w:spacing w:after="0"/>
        <w:ind w:left="0"/>
        <w:rPr>
          <w:b w:val="0"/>
        </w:rPr>
      </w:pPr>
      <w:r w:rsidRPr="007F4E77">
        <w:rPr>
          <w:b w:val="0"/>
        </w:rPr>
        <w:t>T 01924 306112</w:t>
      </w:r>
    </w:p>
    <w:p w14:paraId="32DA1CD6"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74911867"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7D621F6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85A9EBC" w14:textId="77777777" w:rsidR="00EB10B0" w:rsidRDefault="00EB10B0" w:rsidP="00B71FDF">
      <w:pPr>
        <w:rPr>
          <w:rFonts w:ascii="Arial" w:hAnsi="Arial" w:cs="Arial"/>
        </w:rPr>
      </w:pPr>
    </w:p>
    <w:p w14:paraId="07886BB1" w14:textId="77777777" w:rsidR="00EB10B0" w:rsidRDefault="00EB10B0" w:rsidP="0066165C">
      <w:pPr>
        <w:ind w:left="567"/>
        <w:rPr>
          <w:rFonts w:ascii="Arial" w:hAnsi="Arial" w:cs="Arial"/>
        </w:rPr>
      </w:pPr>
    </w:p>
    <w:p w14:paraId="17980D2A"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3F3DD003" w14:textId="77777777" w:rsidR="00D14AB1" w:rsidRDefault="00D14AB1" w:rsidP="00D14AB1">
      <w:pPr>
        <w:rPr>
          <w:rFonts w:ascii="Arial" w:hAnsi="Arial" w:cs="Arial"/>
        </w:rPr>
      </w:pPr>
    </w:p>
    <w:p w14:paraId="4161CF11" w14:textId="1C62AEE1" w:rsidR="00FB182E" w:rsidRPr="00FB182E" w:rsidRDefault="00FB182E" w:rsidP="00FB182E">
      <w:pPr>
        <w:rPr>
          <w:rFonts w:ascii="Arial" w:hAnsi="Arial" w:cs="Arial"/>
          <w:b/>
          <w:bCs/>
        </w:rPr>
      </w:pPr>
      <w:proofErr w:type="gramStart"/>
      <w:r w:rsidRPr="00FB182E">
        <w:rPr>
          <w:rFonts w:ascii="Arial" w:hAnsi="Arial" w:cs="Arial"/>
          <w:b/>
          <w:bCs/>
        </w:rPr>
        <w:t>FREEDOM  INFORMATION</w:t>
      </w:r>
      <w:proofErr w:type="gramEnd"/>
      <w:r w:rsidRPr="00FB182E">
        <w:rPr>
          <w:rFonts w:ascii="Arial" w:hAnsi="Arial" w:cs="Arial"/>
          <w:b/>
          <w:bCs/>
        </w:rPr>
        <w:t xml:space="preserve"> ACT 2000- REQUEST FOR INFORMATION  </w:t>
      </w:r>
    </w:p>
    <w:p w14:paraId="6051A00E" w14:textId="3DC6BEB0" w:rsidR="00FB182E" w:rsidRPr="003522EE" w:rsidRDefault="00FB182E" w:rsidP="00FB182E">
      <w:pPr>
        <w:rPr>
          <w:rFonts w:ascii="Arial" w:hAnsi="Arial" w:cs="Arial"/>
          <w:b/>
          <w:bCs/>
        </w:rPr>
      </w:pPr>
      <w:r w:rsidRPr="003522EE">
        <w:rPr>
          <w:rFonts w:ascii="Arial" w:hAnsi="Arial" w:cs="Arial"/>
          <w:b/>
          <w:bCs/>
        </w:rPr>
        <w:t xml:space="preserve">REF: </w:t>
      </w:r>
      <w:r w:rsidR="003522EE" w:rsidRPr="003522EE">
        <w:rPr>
          <w:rFonts w:ascii="Arial" w:hAnsi="Arial" w:cs="Arial"/>
          <w:b/>
          <w:bCs/>
        </w:rPr>
        <w:t>FOI</w:t>
      </w:r>
      <w:r w:rsidR="003522EE">
        <w:rPr>
          <w:rFonts w:ascii="Arial" w:hAnsi="Arial" w:cs="Arial"/>
          <w:b/>
          <w:bCs/>
        </w:rPr>
        <w:t xml:space="preserve"> </w:t>
      </w:r>
      <w:r w:rsidR="00E50634">
        <w:rPr>
          <w:rFonts w:ascii="Arial" w:hAnsi="Arial" w:cs="Arial"/>
          <w:b/>
          <w:bCs/>
        </w:rPr>
        <w:t>1047</w:t>
      </w:r>
    </w:p>
    <w:p w14:paraId="367633F8" w14:textId="77777777" w:rsidR="00D14AB1" w:rsidRPr="00D14AB1" w:rsidRDefault="00D14AB1" w:rsidP="00D14AB1">
      <w:pPr>
        <w:rPr>
          <w:rFonts w:ascii="Arial" w:hAnsi="Arial" w:cs="Arial"/>
          <w:b/>
          <w:bCs/>
        </w:rPr>
      </w:pPr>
    </w:p>
    <w:p w14:paraId="6FB486BC"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7BA1CBBC" w14:textId="77777777" w:rsidR="00790AC8" w:rsidRPr="00D14AB1" w:rsidRDefault="00790AC8" w:rsidP="00D14AB1">
      <w:pPr>
        <w:rPr>
          <w:rFonts w:ascii="Arial" w:hAnsi="Arial" w:cs="Arial"/>
        </w:rPr>
      </w:pPr>
    </w:p>
    <w:p w14:paraId="0911EBCD"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0F8FDEBC" w14:textId="77777777" w:rsidR="00D14AB1" w:rsidRDefault="00D14AB1" w:rsidP="00D14AB1">
      <w:pPr>
        <w:rPr>
          <w:rFonts w:ascii="Arial" w:hAnsi="Arial" w:cs="Arial"/>
          <w:lang w:val="en-US"/>
        </w:rPr>
      </w:pPr>
    </w:p>
    <w:p w14:paraId="7AD10095" w14:textId="372EC97B" w:rsidR="003522EE" w:rsidRDefault="003522EE" w:rsidP="003522EE">
      <w:pPr>
        <w:rPr>
          <w:rFonts w:ascii="Arial" w:hAnsi="Arial" w:cs="Arial"/>
        </w:rPr>
      </w:pPr>
      <w:r w:rsidRPr="003522EE">
        <w:rPr>
          <w:rFonts w:ascii="Arial" w:hAnsi="Arial" w:cs="Arial"/>
        </w:rPr>
        <w:t>I would like to make a request under the Freedom of Information act for the following information:</w:t>
      </w:r>
    </w:p>
    <w:p w14:paraId="631A7177" w14:textId="77777777" w:rsidR="003522EE" w:rsidRPr="003522EE" w:rsidRDefault="003522EE" w:rsidP="003522EE">
      <w:pPr>
        <w:rPr>
          <w:rFonts w:ascii="Arial" w:hAnsi="Arial" w:cs="Arial"/>
        </w:rPr>
      </w:pPr>
    </w:p>
    <w:p w14:paraId="40690AE4" w14:textId="77777777" w:rsidR="00ED2916" w:rsidRPr="00ED2916" w:rsidRDefault="00ED2916" w:rsidP="00ED2916">
      <w:pPr>
        <w:spacing w:after="160" w:line="259" w:lineRule="auto"/>
        <w:rPr>
          <w:rFonts w:ascii="Arial" w:eastAsia="Aptos" w:hAnsi="Arial" w:cs="Arial"/>
          <w:kern w:val="2"/>
          <w14:ligatures w14:val="standardContextual"/>
        </w:rPr>
      </w:pPr>
      <w:r w:rsidRPr="00ED2916">
        <w:rPr>
          <w:rFonts w:ascii="Arial" w:eastAsia="Aptos" w:hAnsi="Arial" w:cs="Arial"/>
          <w:b/>
          <w:bCs/>
          <w:kern w:val="2"/>
          <w14:ligatures w14:val="standardContextual"/>
        </w:rPr>
        <w:t>Adaptations approval and delivery time</w:t>
      </w:r>
    </w:p>
    <w:p w14:paraId="6CBC2083"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1) What is the total number of applications for adaptations A) received by the local authority and B) how</w:t>
      </w:r>
      <w:r w:rsidRPr="00695BBA">
        <w:rPr>
          <w:rFonts w:ascii="Aptos" w:eastAsia="Aptos" w:hAnsi="Aptos"/>
          <w:kern w:val="2"/>
          <w:sz w:val="22"/>
          <w:szCs w:val="22"/>
          <w14:ligatures w14:val="standardContextual"/>
        </w:rPr>
        <w:t xml:space="preserve"> </w:t>
      </w:r>
      <w:r w:rsidRPr="00695BBA">
        <w:rPr>
          <w:rFonts w:ascii="Arial" w:eastAsia="Aptos" w:hAnsi="Arial" w:cs="Arial"/>
          <w:kern w:val="2"/>
          <w14:ligatures w14:val="standardContextual"/>
        </w:rPr>
        <w:t>many of these applications were accepted by the local authority during the following periods?  </w:t>
      </w:r>
    </w:p>
    <w:p w14:paraId="08383967" w14:textId="77777777" w:rsidR="00695BBA" w:rsidRPr="00695BBA" w:rsidRDefault="00695BBA" w:rsidP="00695BBA">
      <w:pPr>
        <w:spacing w:after="160" w:line="259" w:lineRule="auto"/>
        <w:rPr>
          <w:rFonts w:ascii="Arial" w:eastAsia="Aptos" w:hAnsi="Arial" w:cs="Arial"/>
          <w:kern w:val="2"/>
          <w14:ligatures w14:val="standardContextual"/>
        </w:rPr>
      </w:pPr>
      <w:proofErr w:type="spellStart"/>
      <w:r w:rsidRPr="00695BBA">
        <w:rPr>
          <w:rFonts w:ascii="Arial" w:eastAsia="Aptos" w:hAnsi="Arial" w:cs="Arial"/>
          <w:kern w:val="2"/>
          <w14:ligatures w14:val="standardContextual"/>
        </w:rPr>
        <w:t>i</w:t>
      </w:r>
      <w:proofErr w:type="spellEnd"/>
      <w:r w:rsidRPr="00695BBA">
        <w:rPr>
          <w:rFonts w:ascii="Arial" w:eastAsia="Aptos" w:hAnsi="Arial" w:cs="Arial"/>
          <w:kern w:val="2"/>
          <w14:ligatures w14:val="standardContextual"/>
        </w:rPr>
        <w:t>. ‎01 April 2024 – 31 March 2025</w:t>
      </w:r>
    </w:p>
    <w:p w14:paraId="6FFEE8FA"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A- 562 DFG referrals received</w:t>
      </w:r>
    </w:p>
    <w:p w14:paraId="213CA061"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B- 562 were accepted and process for a financial assessment</w:t>
      </w:r>
    </w:p>
    <w:p w14:paraId="2DE16FE6"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ii. ‎01 April 2025 – 31 March 2026 </w:t>
      </w:r>
    </w:p>
    <w:p w14:paraId="3C8E890C"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A- 513 DFG referrals received</w:t>
      </w:r>
    </w:p>
    <w:p w14:paraId="432C5791"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B- 513 were accepted and process for a financial assessment</w:t>
      </w:r>
    </w:p>
    <w:p w14:paraId="17283716"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lastRenderedPageBreak/>
        <w:t>2) What was the average time taken (in working days) from first contact about an adaptation to that adaptation being approved for A) adaptations up to £1,000 B) adaptations between £1,001 and £15,000 and C) adaptations over £15,001 during the following periods?  </w:t>
      </w:r>
    </w:p>
    <w:p w14:paraId="7CD5FF8F" w14:textId="77777777" w:rsidR="00695BBA" w:rsidRPr="00695BBA" w:rsidRDefault="00695BBA" w:rsidP="00695BBA">
      <w:pPr>
        <w:spacing w:after="160" w:line="259" w:lineRule="auto"/>
        <w:rPr>
          <w:rFonts w:ascii="Arial" w:eastAsia="Aptos" w:hAnsi="Arial" w:cs="Arial"/>
          <w:kern w:val="2"/>
          <w14:ligatures w14:val="standardContextual"/>
        </w:rPr>
      </w:pPr>
      <w:proofErr w:type="spellStart"/>
      <w:r w:rsidRPr="00695BBA">
        <w:rPr>
          <w:rFonts w:ascii="Arial" w:eastAsia="Aptos" w:hAnsi="Arial" w:cs="Arial"/>
          <w:kern w:val="2"/>
          <w14:ligatures w14:val="standardContextual"/>
        </w:rPr>
        <w:t>i</w:t>
      </w:r>
      <w:proofErr w:type="spellEnd"/>
      <w:r w:rsidRPr="00695BBA">
        <w:rPr>
          <w:rFonts w:ascii="Arial" w:eastAsia="Aptos" w:hAnsi="Arial" w:cs="Arial"/>
          <w:kern w:val="2"/>
          <w14:ligatures w14:val="standardContextual"/>
        </w:rPr>
        <w:t>. ‎01 April 2024 – 31 March 2025 </w:t>
      </w:r>
    </w:p>
    <w:p w14:paraId="38BA1679"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A –</w:t>
      </w:r>
      <w:r w:rsidRPr="00695BBA">
        <w:rPr>
          <w:rFonts w:ascii="Arial" w:hAnsi="Arial" w:cs="Arial"/>
          <w:color w:val="215E99" w:themeColor="text2" w:themeTint="BF"/>
          <w:lang w:eastAsia="en-GB"/>
        </w:rPr>
        <w:t xml:space="preserve"> </w:t>
      </w:r>
      <w:r w:rsidRPr="00695BBA">
        <w:rPr>
          <w:rFonts w:ascii="Arial" w:eastAsia="Aptos" w:hAnsi="Arial" w:cs="Arial"/>
          <w:color w:val="215E99" w:themeColor="text2" w:themeTint="BF"/>
          <w:kern w:val="2"/>
          <w14:ligatures w14:val="standardContextual"/>
        </w:rPr>
        <w:t>Minor adaptations under £1,000 are generally delivered through our commissioned Handyperson Service. The referral is to the service, rather than into the Council, The Handyperson Service contains the following targets timescales with regards to the completion of jobs.</w:t>
      </w:r>
    </w:p>
    <w:p w14:paraId="55FCEDCE" w14:textId="77777777" w:rsidR="00695BBA" w:rsidRPr="00695BBA" w:rsidRDefault="00695BBA" w:rsidP="00695BBA">
      <w:pPr>
        <w:numPr>
          <w:ilvl w:val="0"/>
          <w:numId w:val="8"/>
        </w:num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Low Priority – completion within 30 working days: 90%</w:t>
      </w:r>
    </w:p>
    <w:p w14:paraId="633BED79" w14:textId="77777777" w:rsidR="00695BBA" w:rsidRPr="00695BBA" w:rsidRDefault="00695BBA" w:rsidP="00695BBA">
      <w:pPr>
        <w:numPr>
          <w:ilvl w:val="0"/>
          <w:numId w:val="8"/>
        </w:num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Medium Priority – completion with 5 working days: 90%</w:t>
      </w:r>
    </w:p>
    <w:p w14:paraId="0D121B8B" w14:textId="77777777" w:rsidR="00695BBA" w:rsidRPr="00695BBA" w:rsidRDefault="00695BBA" w:rsidP="00695BBA">
      <w:pPr>
        <w:numPr>
          <w:ilvl w:val="0"/>
          <w:numId w:val="8"/>
        </w:num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High Priority – completion with 24 working hours: 100% </w:t>
      </w:r>
    </w:p>
    <w:p w14:paraId="0AB75C25"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Since the start of the Contract, the low and medium priority targets are achieved each quarter.</w:t>
      </w:r>
    </w:p>
    <w:p w14:paraId="3756B735"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Between 92% and 100% is achieved for the high-priority target. </w:t>
      </w:r>
    </w:p>
    <w:p w14:paraId="14BF35D6"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 xml:space="preserve">B/C – We are only able to provide an average time for all DFG adaptations. It is not possible to break this down by cost. </w:t>
      </w:r>
    </w:p>
    <w:p w14:paraId="06811475"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First contact to service to DFG approval 24/25 = 188.45 working days (this covers £1,001 - £30,000)</w:t>
      </w:r>
    </w:p>
    <w:p w14:paraId="20FA8B72"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ii. ‎01 April 2025 – 31 March 2026 </w:t>
      </w:r>
    </w:p>
    <w:p w14:paraId="46C45E12"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 xml:space="preserve">A – Same as above </w:t>
      </w:r>
    </w:p>
    <w:p w14:paraId="7659A137"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 xml:space="preserve">B/C – We are only able to provide an average time for all DFG adaptations. It is not possible to break this down by cost. </w:t>
      </w:r>
    </w:p>
    <w:p w14:paraId="678AC286"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First contact to service to DFG approval 25/26 – 246.15 working days (this covers £1,001 - £30,000)</w:t>
      </w:r>
    </w:p>
    <w:p w14:paraId="51557F25"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3) What was the average time taken (in working days) from the approval of A) adaptations up to £1,000 B) adaptations between £1,001 and £15,000 and C) adaptations over £15,001 to the completion of the adaptation during the period during the following periods?</w:t>
      </w:r>
    </w:p>
    <w:p w14:paraId="57FBA0EE" w14:textId="77777777" w:rsidR="00695BBA" w:rsidRPr="00695BBA" w:rsidRDefault="00695BBA" w:rsidP="00695BBA">
      <w:pPr>
        <w:spacing w:after="160" w:line="259" w:lineRule="auto"/>
        <w:rPr>
          <w:rFonts w:ascii="Arial" w:eastAsia="Aptos" w:hAnsi="Arial" w:cs="Arial"/>
          <w:kern w:val="2"/>
          <w14:ligatures w14:val="standardContextual"/>
        </w:rPr>
      </w:pPr>
      <w:proofErr w:type="spellStart"/>
      <w:r w:rsidRPr="00695BBA">
        <w:rPr>
          <w:rFonts w:ascii="Arial" w:eastAsia="Aptos" w:hAnsi="Arial" w:cs="Arial"/>
          <w:kern w:val="2"/>
          <w14:ligatures w14:val="standardContextual"/>
        </w:rPr>
        <w:t>i</w:t>
      </w:r>
      <w:proofErr w:type="spellEnd"/>
      <w:r w:rsidRPr="00695BBA">
        <w:rPr>
          <w:rFonts w:ascii="Arial" w:eastAsia="Aptos" w:hAnsi="Arial" w:cs="Arial"/>
          <w:kern w:val="2"/>
          <w14:ligatures w14:val="standardContextual"/>
        </w:rPr>
        <w:t>. ‎01 April 2024 – 31 March 2025 </w:t>
      </w:r>
    </w:p>
    <w:p w14:paraId="6B59B947"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 xml:space="preserve">A – Same as above </w:t>
      </w:r>
    </w:p>
    <w:p w14:paraId="6C25CB6E"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 xml:space="preserve">B/C – We are only able to provide an average time for all DFG adaptations. It is not possible to break this down by cost. </w:t>
      </w:r>
    </w:p>
    <w:p w14:paraId="00FA37DF"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Grant approval to completion – 99.34 working days (£1,001 - £30,000)</w:t>
      </w:r>
    </w:p>
    <w:p w14:paraId="1A3E11B3"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ii. ‎01 April 2025 – 31 March 2026 </w:t>
      </w:r>
    </w:p>
    <w:p w14:paraId="5A39AF88"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 xml:space="preserve">A – Same as above </w:t>
      </w:r>
    </w:p>
    <w:p w14:paraId="720FDFE3"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 xml:space="preserve">B/C – We are only able to provide an average time for all DFG adaptations. It is not possible to break this down by cost. </w:t>
      </w:r>
    </w:p>
    <w:p w14:paraId="660D0A23"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Grant approval to completion – 77.3 working days (£1,001 - £30,000)</w:t>
      </w:r>
    </w:p>
    <w:p w14:paraId="1D4AD887"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b/>
          <w:bCs/>
          <w:kern w:val="2"/>
          <w14:ligatures w14:val="standardContextual"/>
        </w:rPr>
        <w:lastRenderedPageBreak/>
        <w:t>Adaptations for urgent needs  </w:t>
      </w:r>
    </w:p>
    <w:p w14:paraId="5B617787"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 4) Do you record whether potential recipients of adaptations have a terminal illness?  </w:t>
      </w:r>
    </w:p>
    <w:p w14:paraId="453350A2"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Yes. Information relating to terminal illness may be recorded within case notes/free text fields. As this information is not held in a reportable format, we are unable to extract data for reporting purposes. However, cases meeting the relevant criteria may be considered through the urgent provision process and funded through the recycled equipment scheme.</w:t>
      </w:r>
    </w:p>
    <w:p w14:paraId="5CA9217B"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xml:space="preserve"> a) If yes, what are the eligibility criteria to being classed as terminally ill?</w:t>
      </w:r>
    </w:p>
    <w:p w14:paraId="5F764239"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An individual with a prognosis of less than 6 months left to live.</w:t>
      </w:r>
    </w:p>
    <w:p w14:paraId="56D77D0A"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5) If you do record whether potential recipients of adaptations have a terminal illness, what is the total number of applications A) received from or on behalf of potential recipients with a terminal illness and B) how many of these applications were accepted by the local authority during the following periods?</w:t>
      </w:r>
    </w:p>
    <w:p w14:paraId="23E4DDE6" w14:textId="77777777" w:rsidR="00695BBA" w:rsidRPr="00695BBA" w:rsidRDefault="00695BBA" w:rsidP="00695BBA">
      <w:pPr>
        <w:spacing w:after="160" w:line="259" w:lineRule="auto"/>
        <w:rPr>
          <w:rFonts w:ascii="Arial" w:eastAsia="Aptos" w:hAnsi="Arial" w:cs="Arial"/>
          <w:kern w:val="2"/>
          <w14:ligatures w14:val="standardContextual"/>
        </w:rPr>
      </w:pPr>
      <w:proofErr w:type="spellStart"/>
      <w:r w:rsidRPr="00695BBA">
        <w:rPr>
          <w:rFonts w:ascii="Arial" w:eastAsia="Aptos" w:hAnsi="Arial" w:cs="Arial"/>
          <w:kern w:val="2"/>
          <w14:ligatures w14:val="standardContextual"/>
        </w:rPr>
        <w:t>i</w:t>
      </w:r>
      <w:proofErr w:type="spellEnd"/>
      <w:r w:rsidRPr="00695BBA">
        <w:rPr>
          <w:rFonts w:ascii="Arial" w:eastAsia="Aptos" w:hAnsi="Arial" w:cs="Arial"/>
          <w:kern w:val="2"/>
          <w14:ligatures w14:val="standardContextual"/>
        </w:rPr>
        <w:t>. ‎01 April 2024 – 31 March 2025 </w:t>
      </w:r>
    </w:p>
    <w:p w14:paraId="1E217E4C"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 xml:space="preserve">A- This information is not held </w:t>
      </w:r>
    </w:p>
    <w:p w14:paraId="05F6F6DD"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B- The Council does not record applications received from people with a terminal illness in a reportable format. However, 90 adaptations were provided through the urgent provision process during this period and not through DFG.</w:t>
      </w:r>
    </w:p>
    <w:p w14:paraId="6E693A2C"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ii. ‎01 April 2025 – 31 March 2026 </w:t>
      </w:r>
    </w:p>
    <w:p w14:paraId="55E9AB89"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A- This information is not held</w:t>
      </w:r>
    </w:p>
    <w:p w14:paraId="006682DC"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B- The Council does not record applications received from people with a terminal illness in a reportable format. However, 75 adaptations were provided through the urgent provision process during this period and not through DFG.</w:t>
      </w:r>
    </w:p>
    <w:p w14:paraId="77B6EE76"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6) Do you currently have a fast-track process in place to provide adaptations funding more rapidly to potential recipients with urgent needs?</w:t>
      </w:r>
    </w:p>
    <w:p w14:paraId="3FE71C14"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xml:space="preserve"> a) Is terminal illness a qualifying criterion for access to the fast-track process?</w:t>
      </w:r>
    </w:p>
    <w:p w14:paraId="202D1332"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proofErr w:type="gramStart"/>
      <w:r w:rsidRPr="00695BBA">
        <w:rPr>
          <w:rFonts w:ascii="Arial" w:eastAsia="Aptos" w:hAnsi="Arial" w:cs="Arial"/>
          <w:color w:val="215E99" w:themeColor="text2" w:themeTint="BF"/>
          <w:kern w:val="2"/>
          <w14:ligatures w14:val="standardContextual"/>
        </w:rPr>
        <w:t>In order to</w:t>
      </w:r>
      <w:proofErr w:type="gramEnd"/>
      <w:r w:rsidRPr="00695BBA">
        <w:rPr>
          <w:rFonts w:ascii="Arial" w:eastAsia="Aptos" w:hAnsi="Arial" w:cs="Arial"/>
          <w:color w:val="215E99" w:themeColor="text2" w:themeTint="BF"/>
          <w:kern w:val="2"/>
          <w14:ligatures w14:val="standardContextual"/>
        </w:rPr>
        <w:t xml:space="preserve"> be considered for this assistance the work must be reasonable and practicable having regard to the age and condition of the property (as detailed in Section 4.3 of the DFG Manual) under the following circumstances:</w:t>
      </w:r>
    </w:p>
    <w:p w14:paraId="7C46162A"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 End of life care where a terminal diagnosis has been received with a prognosis of 6 months or less and can be met through the provision of specialist equipment; or</w:t>
      </w:r>
    </w:p>
    <w:p w14:paraId="27CD4185"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 Urgent hospital discharge where the assessed risk/need is so significant, that not to provide adaptations would cause serious deterioration in the medical condition and can be met through the provision of specialist equipment. This will be for longer term use which cannot be met by community equipment loan.</w:t>
      </w:r>
    </w:p>
    <w:p w14:paraId="08575354"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7) What was the average time taken (in working days) from first contact about an adaptation to that adaptation being approved of A) adaptations up to £1,000 B) between £1,001 and £15,000 and C) adaptations over £15,001 for applications under the fast-track route during the following periods?  </w:t>
      </w:r>
    </w:p>
    <w:p w14:paraId="19245FFC" w14:textId="77777777" w:rsidR="00695BBA" w:rsidRPr="00695BBA" w:rsidRDefault="00695BBA" w:rsidP="00695BBA">
      <w:pPr>
        <w:spacing w:after="160" w:line="259" w:lineRule="auto"/>
        <w:rPr>
          <w:rFonts w:ascii="Arial" w:eastAsia="Aptos" w:hAnsi="Arial" w:cs="Arial"/>
          <w:kern w:val="2"/>
          <w14:ligatures w14:val="standardContextual"/>
        </w:rPr>
      </w:pPr>
      <w:proofErr w:type="spellStart"/>
      <w:r w:rsidRPr="00695BBA">
        <w:rPr>
          <w:rFonts w:ascii="Arial" w:eastAsia="Aptos" w:hAnsi="Arial" w:cs="Arial"/>
          <w:kern w:val="2"/>
          <w14:ligatures w14:val="standardContextual"/>
        </w:rPr>
        <w:lastRenderedPageBreak/>
        <w:t>i</w:t>
      </w:r>
      <w:proofErr w:type="spellEnd"/>
      <w:r w:rsidRPr="00695BBA">
        <w:rPr>
          <w:rFonts w:ascii="Arial" w:eastAsia="Aptos" w:hAnsi="Arial" w:cs="Arial"/>
          <w:kern w:val="2"/>
          <w14:ligatures w14:val="standardContextual"/>
        </w:rPr>
        <w:t>. ‎01 April 2024 – 31 March 2025 </w:t>
      </w:r>
    </w:p>
    <w:p w14:paraId="23830F4E"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ii. ‎01 April 2025 – 31 March 2026 </w:t>
      </w:r>
    </w:p>
    <w:p w14:paraId="75EEE51F"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N/A – The Council does not operate a fast-track grant process. Urgent cases are managed through the urgent provision process using recycled specialist equipment rather than a grant application route.</w:t>
      </w:r>
    </w:p>
    <w:p w14:paraId="68D8C288"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8) What was the average time taken (in working days) from the approval of A) adaptations up to £1,000 B) adaptations between £1,001 and £15,000 and C) adaptations above £15,001 to the completion of the adaptation for applications under the fast-track route during the period during the following periods?</w:t>
      </w:r>
    </w:p>
    <w:p w14:paraId="5EABC760" w14:textId="77777777" w:rsidR="00695BBA" w:rsidRPr="00695BBA" w:rsidRDefault="00695BBA" w:rsidP="00695BBA">
      <w:pPr>
        <w:spacing w:after="160" w:line="259" w:lineRule="auto"/>
        <w:rPr>
          <w:rFonts w:ascii="Arial" w:eastAsia="Aptos" w:hAnsi="Arial" w:cs="Arial"/>
          <w:kern w:val="2"/>
          <w14:ligatures w14:val="standardContextual"/>
        </w:rPr>
      </w:pPr>
      <w:proofErr w:type="spellStart"/>
      <w:r w:rsidRPr="00695BBA">
        <w:rPr>
          <w:rFonts w:ascii="Arial" w:eastAsia="Aptos" w:hAnsi="Arial" w:cs="Arial"/>
          <w:kern w:val="2"/>
          <w14:ligatures w14:val="standardContextual"/>
        </w:rPr>
        <w:t>i</w:t>
      </w:r>
      <w:proofErr w:type="spellEnd"/>
      <w:r w:rsidRPr="00695BBA">
        <w:rPr>
          <w:rFonts w:ascii="Arial" w:eastAsia="Aptos" w:hAnsi="Arial" w:cs="Arial"/>
          <w:kern w:val="2"/>
          <w14:ligatures w14:val="standardContextual"/>
        </w:rPr>
        <w:t>. ‎01 April 2024 – 31 March 2025 </w:t>
      </w:r>
    </w:p>
    <w:p w14:paraId="7F0CA442"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ii. ‎01 April 2025 – 31 March 2026 </w:t>
      </w:r>
    </w:p>
    <w:p w14:paraId="230677E2"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N/A – The Council does not operate a fast-track grant process. Urgent cases are managed through the urgent provision process using recycled specialist equipment rather than a grant application route.</w:t>
      </w:r>
    </w:p>
    <w:p w14:paraId="4A31CEFA"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9) How many adaptations applications were not completed because the potential recipient died following first contact about an adaptation and prior to the adaptation being completed during the following periods?</w:t>
      </w:r>
    </w:p>
    <w:p w14:paraId="73DE174C" w14:textId="77777777" w:rsidR="00695BBA" w:rsidRPr="00695BBA" w:rsidRDefault="00695BBA" w:rsidP="00695BBA">
      <w:pPr>
        <w:spacing w:after="160" w:line="259" w:lineRule="auto"/>
        <w:rPr>
          <w:rFonts w:ascii="Arial" w:eastAsia="Aptos" w:hAnsi="Arial" w:cs="Arial"/>
          <w:kern w:val="2"/>
          <w14:ligatures w14:val="standardContextual"/>
        </w:rPr>
      </w:pPr>
      <w:proofErr w:type="spellStart"/>
      <w:r w:rsidRPr="00695BBA">
        <w:rPr>
          <w:rFonts w:ascii="Arial" w:eastAsia="Aptos" w:hAnsi="Arial" w:cs="Arial"/>
          <w:kern w:val="2"/>
          <w14:ligatures w14:val="standardContextual"/>
        </w:rPr>
        <w:t>i</w:t>
      </w:r>
      <w:proofErr w:type="spellEnd"/>
      <w:r w:rsidRPr="00695BBA">
        <w:rPr>
          <w:rFonts w:ascii="Arial" w:eastAsia="Aptos" w:hAnsi="Arial" w:cs="Arial"/>
          <w:kern w:val="2"/>
          <w14:ligatures w14:val="standardContextual"/>
        </w:rPr>
        <w:t>. ‎01 April 2024 – 31 March 2025 </w:t>
      </w:r>
    </w:p>
    <w:p w14:paraId="2A30AD94"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 xml:space="preserve">The Council can identify 17 individuals who died following referral to the DFG service during this period. However, we do not hold information in a reportable format that would allow us to determine whether the adaptation was not completed </w:t>
      </w:r>
      <w:proofErr w:type="gramStart"/>
      <w:r w:rsidRPr="00695BBA">
        <w:rPr>
          <w:rFonts w:ascii="Arial" w:eastAsia="Aptos" w:hAnsi="Arial" w:cs="Arial"/>
          <w:color w:val="215E99" w:themeColor="text2" w:themeTint="BF"/>
          <w:kern w:val="2"/>
          <w14:ligatures w14:val="standardContextual"/>
        </w:rPr>
        <w:t>as a result of</w:t>
      </w:r>
      <w:proofErr w:type="gramEnd"/>
      <w:r w:rsidRPr="00695BBA">
        <w:rPr>
          <w:rFonts w:ascii="Arial" w:eastAsia="Aptos" w:hAnsi="Arial" w:cs="Arial"/>
          <w:color w:val="215E99" w:themeColor="text2" w:themeTint="BF"/>
          <w:kern w:val="2"/>
          <w14:ligatures w14:val="standardContextual"/>
        </w:rPr>
        <w:t xml:space="preserve"> the person's death.</w:t>
      </w:r>
    </w:p>
    <w:p w14:paraId="287FE10E"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ii. ‎01 April 2025 – 31 March 2026 </w:t>
      </w:r>
    </w:p>
    <w:p w14:paraId="4CE9AB34"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 xml:space="preserve">The Council can identify 18 individuals who died following referral to the DFG service during this period. However, we do not hold information in a reportable format that would allow us to determine whether the adaptation was not completed </w:t>
      </w:r>
      <w:proofErr w:type="gramStart"/>
      <w:r w:rsidRPr="00695BBA">
        <w:rPr>
          <w:rFonts w:ascii="Arial" w:eastAsia="Aptos" w:hAnsi="Arial" w:cs="Arial"/>
          <w:color w:val="215E99" w:themeColor="text2" w:themeTint="BF"/>
          <w:kern w:val="2"/>
          <w14:ligatures w14:val="standardContextual"/>
        </w:rPr>
        <w:t>as a result of</w:t>
      </w:r>
      <w:proofErr w:type="gramEnd"/>
      <w:r w:rsidRPr="00695BBA">
        <w:rPr>
          <w:rFonts w:ascii="Arial" w:eastAsia="Aptos" w:hAnsi="Arial" w:cs="Arial"/>
          <w:color w:val="215E99" w:themeColor="text2" w:themeTint="BF"/>
          <w:kern w:val="2"/>
          <w14:ligatures w14:val="standardContextual"/>
        </w:rPr>
        <w:t xml:space="preserve"> the person's death.</w:t>
      </w:r>
    </w:p>
    <w:p w14:paraId="3B59D0EB"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b/>
          <w:bCs/>
          <w:kern w:val="2"/>
          <w14:ligatures w14:val="standardContextual"/>
        </w:rPr>
        <w:t>Means testing for people with a terminal illness</w:t>
      </w:r>
    </w:p>
    <w:p w14:paraId="7FB097D7"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10) Does the local authority waive means-testing for potential recipients of adaptations with a terminal illness?  </w:t>
      </w:r>
    </w:p>
    <w:p w14:paraId="34BE1675"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Yes</w:t>
      </w:r>
    </w:p>
    <w:p w14:paraId="7B704A03"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xml:space="preserve"> a) If yes, is this solely for potential recipients with a terminal illness or is it open more broadly?</w:t>
      </w:r>
    </w:p>
    <w:p w14:paraId="1DD4482F"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 xml:space="preserve">It could also be for someone where the risk and/or safeguarding concern is so significant that urgent provision is required. </w:t>
      </w:r>
    </w:p>
    <w:p w14:paraId="73E1E68C"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xml:space="preserve"> b) If yes, up to what amount do you waive the means-test?</w:t>
      </w:r>
    </w:p>
    <w:p w14:paraId="3C5680E5"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There is no monetary threshold as adaptations provided through the urgent provision process utilise recycled specialist equipment rather than a means-tested grant.</w:t>
      </w:r>
    </w:p>
    <w:p w14:paraId="5D9BAABB"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xml:space="preserve"> c) If yes, is it only waived to allow for certain types of adaptations? </w:t>
      </w:r>
    </w:p>
    <w:p w14:paraId="37F1A419"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lastRenderedPageBreak/>
        <w:t>For recycled specialist equipment only.</w:t>
      </w:r>
    </w:p>
    <w:p w14:paraId="4C311698"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b/>
          <w:bCs/>
          <w:kern w:val="2"/>
          <w14:ligatures w14:val="standardContextual"/>
        </w:rPr>
        <w:t>Relocation Grant</w:t>
      </w:r>
    </w:p>
    <w:p w14:paraId="123C91F3"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11) Does your local authority offer a Relocation Grant or similar support? These are grants typically offered to help with moving costs offered by some local authorities as an alternative to adaptations where it is more cost effective or beneficial to offer a relocation than adapting a property.</w:t>
      </w:r>
    </w:p>
    <w:p w14:paraId="14925A76" w14:textId="77777777" w:rsidR="00861DFF"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 xml:space="preserve">The Council does not currently offer a Relocation Grant under its Housing Assistance Policy. </w:t>
      </w:r>
      <w:r w:rsidRPr="00695BBA">
        <w:rPr>
          <w:rFonts w:ascii="Arial" w:eastAsia="Aptos" w:hAnsi="Arial" w:cs="Arial"/>
          <w:color w:val="215E99" w:themeColor="text2" w:themeTint="BF"/>
          <w:kern w:val="2"/>
          <w14:ligatures w14:val="standardContextual"/>
        </w:rPr>
        <w:t> </w:t>
      </w:r>
      <w:r w:rsidRPr="00695BBA">
        <w:rPr>
          <w:rFonts w:ascii="Arial" w:eastAsia="Aptos" w:hAnsi="Arial" w:cs="Arial"/>
          <w:color w:val="215E99" w:themeColor="text2" w:themeTint="BF"/>
          <w:kern w:val="2"/>
          <w14:ligatures w14:val="standardContextual"/>
        </w:rPr>
        <w:t> </w:t>
      </w:r>
      <w:r w:rsidRPr="00695BBA">
        <w:rPr>
          <w:rFonts w:ascii="Arial" w:eastAsia="Aptos" w:hAnsi="Arial" w:cs="Arial"/>
          <w:color w:val="215E99" w:themeColor="text2" w:themeTint="BF"/>
          <w:kern w:val="2"/>
          <w14:ligatures w14:val="standardContextual"/>
        </w:rPr>
        <w:t> </w:t>
      </w:r>
    </w:p>
    <w:p w14:paraId="38B7CAC1" w14:textId="062355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color w:val="215E99" w:themeColor="text2" w:themeTint="BF"/>
          <w:kern w:val="2"/>
          <w14:ligatures w14:val="standardContextual"/>
        </w:rPr>
        <w:t> </w:t>
      </w:r>
      <w:r w:rsidRPr="00695BBA">
        <w:rPr>
          <w:rFonts w:ascii="Arial" w:eastAsia="Aptos" w:hAnsi="Arial" w:cs="Arial"/>
          <w:color w:val="215E99" w:themeColor="text2" w:themeTint="BF"/>
          <w:kern w:val="2"/>
          <w14:ligatures w14:val="standardContextual"/>
        </w:rPr>
        <w:t xml:space="preserve"> </w:t>
      </w:r>
      <w:r w:rsidRPr="00695BBA">
        <w:rPr>
          <w:rFonts w:ascii="Arial" w:eastAsia="Aptos" w:hAnsi="Arial" w:cs="Arial"/>
          <w:kern w:val="2"/>
          <w14:ligatures w14:val="standardContextual"/>
        </w:rPr>
        <w:t>a) If yes, to what value is the Relocation Grant available?</w:t>
      </w:r>
    </w:p>
    <w:p w14:paraId="7DEA1FC8"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xml:space="preserve"> b) If yes, is the grant subject to a means test? To what value?</w:t>
      </w:r>
    </w:p>
    <w:p w14:paraId="19D23B69"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xml:space="preserve"> c) If yes, to which tenure types is the Relocation Grant available?</w:t>
      </w:r>
    </w:p>
    <w:p w14:paraId="313DF972"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w:t>
      </w:r>
      <w:r w:rsidRPr="00695BBA">
        <w:rPr>
          <w:rFonts w:ascii="Arial" w:eastAsia="Aptos" w:hAnsi="Arial" w:cs="Arial"/>
          <w:kern w:val="2"/>
          <w14:ligatures w14:val="standardContextual"/>
        </w:rPr>
        <w:t xml:space="preserve"> d) If no, has the local authority conducted any assessments (including an Impact Equality Assessment) or reviews on the benefits of offering a Relocation Grant?</w:t>
      </w:r>
    </w:p>
    <w:p w14:paraId="31975D23"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An Equality, Diversity and Inclusion Impact Assessment was undertaken as part of the wider review of the Discretionary Disabled Facilities Grant and Housing Assistance Policy arrangements in September 2024. However, the Council does not hold any specific assessment relating solely to the introduction of a Relocation Grant.</w:t>
      </w:r>
    </w:p>
    <w:p w14:paraId="16DCCF93"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12) If yes, how many Relocation Grants were issued during the following periods? </w:t>
      </w:r>
    </w:p>
    <w:p w14:paraId="3013F54C" w14:textId="77777777" w:rsidR="00695BBA" w:rsidRPr="00695BBA" w:rsidRDefault="00695BBA" w:rsidP="00695BBA">
      <w:pPr>
        <w:spacing w:after="160" w:line="259" w:lineRule="auto"/>
        <w:rPr>
          <w:rFonts w:ascii="Arial" w:eastAsia="Aptos" w:hAnsi="Arial" w:cs="Arial"/>
          <w:kern w:val="2"/>
          <w14:ligatures w14:val="standardContextual"/>
        </w:rPr>
      </w:pPr>
      <w:proofErr w:type="spellStart"/>
      <w:r w:rsidRPr="00695BBA">
        <w:rPr>
          <w:rFonts w:ascii="Arial" w:eastAsia="Aptos" w:hAnsi="Arial" w:cs="Arial"/>
          <w:kern w:val="2"/>
          <w14:ligatures w14:val="standardContextual"/>
        </w:rPr>
        <w:t>i</w:t>
      </w:r>
      <w:proofErr w:type="spellEnd"/>
      <w:r w:rsidRPr="00695BBA">
        <w:rPr>
          <w:rFonts w:ascii="Arial" w:eastAsia="Aptos" w:hAnsi="Arial" w:cs="Arial"/>
          <w:kern w:val="2"/>
          <w14:ligatures w14:val="standardContextual"/>
        </w:rPr>
        <w:t>. ‎01 April 2024 – 31 March 2025 </w:t>
      </w:r>
    </w:p>
    <w:p w14:paraId="08B6359C"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ii. ‎01 April 2025 – 31 March 2026 </w:t>
      </w:r>
    </w:p>
    <w:p w14:paraId="513362B5"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None</w:t>
      </w:r>
    </w:p>
    <w:p w14:paraId="3B5EAD12" w14:textId="77777777" w:rsidR="00695BBA" w:rsidRPr="00695BBA" w:rsidRDefault="00695BBA" w:rsidP="00695BBA">
      <w:pPr>
        <w:spacing w:after="160" w:line="259" w:lineRule="auto"/>
        <w:rPr>
          <w:rFonts w:ascii="Arial" w:eastAsia="Aptos" w:hAnsi="Arial" w:cs="Arial"/>
          <w:kern w:val="2"/>
          <w14:ligatures w14:val="standardContextual"/>
        </w:rPr>
      </w:pPr>
      <w:r w:rsidRPr="00695BBA">
        <w:rPr>
          <w:rFonts w:ascii="Arial" w:eastAsia="Aptos" w:hAnsi="Arial" w:cs="Arial"/>
          <w:kern w:val="2"/>
          <w14:ligatures w14:val="standardContextual"/>
        </w:rPr>
        <w:t>13) Do you have a different application and/or delivery process for the Relocation Grant if a potential recipient has a terminal illness? If yes, how is the application and/or delivery process different?  </w:t>
      </w:r>
    </w:p>
    <w:p w14:paraId="3A2253EC" w14:textId="77777777" w:rsidR="00695BBA" w:rsidRPr="00695BBA" w:rsidRDefault="00695BBA" w:rsidP="00695BBA">
      <w:pPr>
        <w:spacing w:after="160" w:line="259" w:lineRule="auto"/>
        <w:rPr>
          <w:rFonts w:ascii="Arial" w:eastAsia="Aptos" w:hAnsi="Arial" w:cs="Arial"/>
          <w:color w:val="215E99" w:themeColor="text2" w:themeTint="BF"/>
          <w:kern w:val="2"/>
          <w14:ligatures w14:val="standardContextual"/>
        </w:rPr>
      </w:pPr>
      <w:r w:rsidRPr="00695BBA">
        <w:rPr>
          <w:rFonts w:ascii="Arial" w:eastAsia="Aptos" w:hAnsi="Arial" w:cs="Arial"/>
          <w:color w:val="215E99" w:themeColor="text2" w:themeTint="BF"/>
          <w:kern w:val="2"/>
          <w14:ligatures w14:val="standardContextual"/>
        </w:rPr>
        <w:t>N/A</w:t>
      </w:r>
    </w:p>
    <w:p w14:paraId="0B85BFE1"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251EDD80" w14:textId="77777777" w:rsidR="007F7331" w:rsidRDefault="007F7331" w:rsidP="00D14AB1">
      <w:pPr>
        <w:rPr>
          <w:rFonts w:ascii="Arial" w:hAnsi="Arial" w:cs="Arial"/>
          <w:lang w:val="en-US"/>
        </w:rPr>
      </w:pPr>
    </w:p>
    <w:p w14:paraId="2C244B45"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076872C2" w14:textId="77777777" w:rsidR="0026495B" w:rsidRPr="0026495B" w:rsidRDefault="0026495B" w:rsidP="0026495B">
      <w:pPr>
        <w:rPr>
          <w:rFonts w:ascii="Arial" w:hAnsi="Arial" w:cs="Arial"/>
        </w:rPr>
      </w:pPr>
      <w:r w:rsidRPr="0026495B">
        <w:rPr>
          <w:rFonts w:ascii="Arial" w:hAnsi="Arial" w:cs="Arial"/>
        </w:rPr>
        <w:t> </w:t>
      </w:r>
    </w:p>
    <w:p w14:paraId="4D07240A"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5FE69E1" w14:textId="77777777" w:rsidR="0026495B" w:rsidRPr="0026495B" w:rsidRDefault="0026495B" w:rsidP="0026495B">
      <w:pPr>
        <w:rPr>
          <w:rFonts w:ascii="Arial" w:hAnsi="Arial" w:cs="Arial"/>
        </w:rPr>
      </w:pPr>
      <w:r w:rsidRPr="0026495B">
        <w:rPr>
          <w:rFonts w:ascii="Arial" w:hAnsi="Arial" w:cs="Arial"/>
        </w:rPr>
        <w:t>Wakefield One, Wakefield,  </w:t>
      </w:r>
    </w:p>
    <w:p w14:paraId="2C3092D7" w14:textId="77777777" w:rsidR="0026495B" w:rsidRPr="0026495B" w:rsidRDefault="0026495B" w:rsidP="0026495B">
      <w:pPr>
        <w:rPr>
          <w:rFonts w:ascii="Arial" w:hAnsi="Arial" w:cs="Arial"/>
        </w:rPr>
      </w:pPr>
      <w:r w:rsidRPr="0026495B">
        <w:rPr>
          <w:rFonts w:ascii="Arial" w:hAnsi="Arial" w:cs="Arial"/>
        </w:rPr>
        <w:t>West Yorkshire  </w:t>
      </w:r>
    </w:p>
    <w:p w14:paraId="5E7DFB20" w14:textId="77777777" w:rsidR="0026495B" w:rsidRPr="0026495B" w:rsidRDefault="0026495B" w:rsidP="0026495B">
      <w:pPr>
        <w:rPr>
          <w:rFonts w:ascii="Arial" w:hAnsi="Arial" w:cs="Arial"/>
        </w:rPr>
      </w:pPr>
      <w:r w:rsidRPr="0026495B">
        <w:rPr>
          <w:rFonts w:ascii="Arial" w:hAnsi="Arial" w:cs="Arial"/>
        </w:rPr>
        <w:t>WF1 2EB </w:t>
      </w:r>
    </w:p>
    <w:p w14:paraId="2217DD3C" w14:textId="77777777" w:rsidR="007F7331" w:rsidRPr="00D14AB1" w:rsidRDefault="007F7331" w:rsidP="00D14AB1">
      <w:pPr>
        <w:rPr>
          <w:rFonts w:ascii="Arial" w:hAnsi="Arial" w:cs="Arial"/>
          <w:lang w:val="en-US"/>
        </w:rPr>
      </w:pPr>
    </w:p>
    <w:p w14:paraId="65AD9063" w14:textId="77777777" w:rsidR="003522EE" w:rsidRDefault="003522EE" w:rsidP="008A2183">
      <w:pPr>
        <w:rPr>
          <w:rFonts w:ascii="Arial" w:hAnsi="Arial" w:cs="Arial"/>
        </w:rPr>
      </w:pPr>
    </w:p>
    <w:p w14:paraId="088EFBC6" w14:textId="0DA09CD7" w:rsidR="008A2183" w:rsidRPr="008A2183" w:rsidRDefault="008A2183" w:rsidP="008A2183">
      <w:pPr>
        <w:rPr>
          <w:rFonts w:ascii="Arial" w:hAnsi="Arial" w:cs="Arial"/>
        </w:rPr>
      </w:pPr>
      <w:r w:rsidRPr="008A2183">
        <w:rPr>
          <w:rFonts w:ascii="Arial" w:hAnsi="Arial" w:cs="Arial"/>
        </w:rPr>
        <w:t>Yours faithfully, </w:t>
      </w:r>
    </w:p>
    <w:p w14:paraId="705D9E83" w14:textId="77777777" w:rsidR="00D14AB1" w:rsidRPr="00D14AB1" w:rsidRDefault="00D14AB1" w:rsidP="00D14AB1">
      <w:pPr>
        <w:rPr>
          <w:rFonts w:ascii="Arial" w:hAnsi="Arial" w:cs="Arial"/>
        </w:rPr>
      </w:pPr>
    </w:p>
    <w:p w14:paraId="529701A6" w14:textId="048EBFE3" w:rsidR="00D14AB1" w:rsidRPr="00D14AB1" w:rsidRDefault="00510EF2" w:rsidP="00D14AB1">
      <w:pPr>
        <w:rPr>
          <w:rFonts w:ascii="Arial" w:hAnsi="Arial" w:cs="Arial"/>
        </w:rPr>
      </w:pPr>
      <w:r w:rsidRPr="00E04884">
        <w:rPr>
          <w:rFonts w:ascii="Arial" w:hAnsi="Arial" w:cs="Arial"/>
        </w:rPr>
        <w:t>Senior</w:t>
      </w:r>
      <w:r w:rsidRPr="00D14AB1">
        <w:rPr>
          <w:rFonts w:ascii="Arial" w:hAnsi="Arial" w:cs="Arial"/>
        </w:rPr>
        <w:t xml:space="preserve"> </w:t>
      </w:r>
      <w:r w:rsidR="00D14AB1" w:rsidRPr="00D14AB1">
        <w:rPr>
          <w:rFonts w:ascii="Arial" w:hAnsi="Arial" w:cs="Arial"/>
        </w:rPr>
        <w:t>Information Governance Officer</w:t>
      </w:r>
    </w:p>
    <w:p w14:paraId="0627131A" w14:textId="77777777" w:rsidR="00D14AB1" w:rsidRPr="00D14AB1" w:rsidRDefault="00D14AB1" w:rsidP="00D14AB1">
      <w:pPr>
        <w:rPr>
          <w:rFonts w:ascii="Arial" w:hAnsi="Arial" w:cs="Arial"/>
        </w:rPr>
      </w:pPr>
      <w:r w:rsidRPr="00D14AB1">
        <w:rPr>
          <w:rFonts w:ascii="Arial" w:hAnsi="Arial" w:cs="Arial"/>
        </w:rPr>
        <w:lastRenderedPageBreak/>
        <w:t xml:space="preserve">Corporate Information Governance Team </w:t>
      </w:r>
    </w:p>
    <w:p w14:paraId="24147F19" w14:textId="77777777" w:rsidR="00D14AB1" w:rsidRPr="00D14AB1" w:rsidRDefault="00D14AB1" w:rsidP="00D14AB1">
      <w:pPr>
        <w:rPr>
          <w:rFonts w:ascii="Arial" w:hAnsi="Arial" w:cs="Arial"/>
        </w:rPr>
      </w:pPr>
      <w:r w:rsidRPr="00D14AB1">
        <w:rPr>
          <w:rFonts w:ascii="Arial" w:hAnsi="Arial" w:cs="Arial"/>
        </w:rPr>
        <w:t>Legal and Governance</w:t>
      </w:r>
    </w:p>
    <w:p w14:paraId="415CB3D4" w14:textId="77777777" w:rsidR="00D14AB1" w:rsidRPr="00D14AB1" w:rsidRDefault="00D14AB1" w:rsidP="00D14AB1">
      <w:pPr>
        <w:rPr>
          <w:rFonts w:ascii="Arial" w:hAnsi="Arial" w:cs="Arial"/>
        </w:rPr>
      </w:pPr>
      <w:r w:rsidRPr="00D14AB1">
        <w:rPr>
          <w:rFonts w:ascii="Arial" w:hAnsi="Arial" w:cs="Arial"/>
        </w:rPr>
        <w:t>Wakefield Council</w:t>
      </w:r>
    </w:p>
    <w:p w14:paraId="1C6BAC60" w14:textId="77777777" w:rsidR="00D14AB1" w:rsidRPr="00D14AB1" w:rsidRDefault="00D14AB1" w:rsidP="00D14AB1">
      <w:pPr>
        <w:rPr>
          <w:rFonts w:ascii="Arial" w:hAnsi="Arial" w:cs="Arial"/>
        </w:rPr>
      </w:pPr>
      <w:r w:rsidRPr="00D14AB1">
        <w:rPr>
          <w:rFonts w:ascii="Arial" w:hAnsi="Arial" w:cs="Arial"/>
        </w:rPr>
        <w:t>Tel: 01924 306112</w:t>
      </w:r>
    </w:p>
    <w:p w14:paraId="69C0A8FA"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F1F7150" w14:textId="77777777" w:rsidR="00EB10B0" w:rsidRDefault="00EB10B0" w:rsidP="00D14AB1">
      <w:pPr>
        <w:rPr>
          <w:rFonts w:ascii="Arial" w:hAnsi="Arial" w:cs="Arial"/>
        </w:rPr>
      </w:pPr>
    </w:p>
    <w:p w14:paraId="144AD285"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434F8" w14:textId="77777777" w:rsidR="00452B10" w:rsidRDefault="00452B10">
      <w:r>
        <w:separator/>
      </w:r>
    </w:p>
  </w:endnote>
  <w:endnote w:type="continuationSeparator" w:id="0">
    <w:p w14:paraId="20092087" w14:textId="77777777" w:rsidR="00452B10" w:rsidRDefault="00452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94F0"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0990" w14:textId="182350D2" w:rsidR="00DC5390" w:rsidRDefault="00510EF2">
    <w:pPr>
      <w:pStyle w:val="Footer"/>
      <w:ind w:hanging="851"/>
    </w:pPr>
    <w:r>
      <w:rPr>
        <w:noProof/>
      </w:rPr>
      <w:drawing>
        <wp:inline distT="0" distB="0" distL="0" distR="0" wp14:anchorId="1F66C2A7" wp14:editId="0525D9DB">
          <wp:extent cx="7589520" cy="10820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8204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EA141" w14:textId="28B7604C" w:rsidR="00DC5390" w:rsidRDefault="00510EF2">
    <w:pPr>
      <w:pStyle w:val="Footer"/>
      <w:ind w:hanging="851"/>
    </w:pPr>
    <w:r>
      <w:rPr>
        <w:noProof/>
      </w:rPr>
      <w:drawing>
        <wp:inline distT="0" distB="0" distL="0" distR="0" wp14:anchorId="53C70710" wp14:editId="3A88AF3C">
          <wp:extent cx="7589520" cy="10820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820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C423B" w14:textId="77777777" w:rsidR="00452B10" w:rsidRDefault="00452B10">
      <w:r>
        <w:separator/>
      </w:r>
    </w:p>
  </w:footnote>
  <w:footnote w:type="continuationSeparator" w:id="0">
    <w:p w14:paraId="71BCF905" w14:textId="77777777" w:rsidR="00452B10" w:rsidRDefault="00452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ECD3"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00133"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4C41" w14:textId="5E30C5D8" w:rsidR="00DC5390" w:rsidRDefault="00510EF2">
    <w:pPr>
      <w:pStyle w:val="Header"/>
      <w:ind w:hanging="851"/>
    </w:pPr>
    <w:r>
      <w:rPr>
        <w:noProof/>
      </w:rPr>
      <w:drawing>
        <wp:anchor distT="0" distB="0" distL="114300" distR="114300" simplePos="0" relativeHeight="251657728" behindDoc="1" locked="0" layoutInCell="1" allowOverlap="1" wp14:anchorId="444630B2" wp14:editId="7CC2F4A8">
          <wp:simplePos x="0" y="0"/>
          <wp:positionH relativeFrom="page">
            <wp:posOffset>-41275</wp:posOffset>
          </wp:positionH>
          <wp:positionV relativeFrom="page">
            <wp:posOffset>-24765</wp:posOffset>
          </wp:positionV>
          <wp:extent cx="7575550" cy="1070610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5550" cy="10706100"/>
                  </a:xfrm>
                  <a:prstGeom prst="rect">
                    <a:avLst/>
                  </a:prstGeom>
                  <a:noFill/>
                </pic:spPr>
              </pic:pic>
            </a:graphicData>
          </a:graphic>
          <wp14:sizeRelH relativeFrom="margin">
            <wp14:pctWidth>0</wp14:pctWidth>
          </wp14:sizeRelH>
          <wp14:sizeRelV relativeFrom="margin">
            <wp14:pctHeight>0</wp14:pctHeight>
          </wp14:sizeRelV>
        </wp:anchor>
      </w:drawing>
    </w:r>
  </w:p>
  <w:p w14:paraId="1A8E50AD" w14:textId="77777777" w:rsidR="00FB30EC" w:rsidRDefault="00FB30EC">
    <w:pPr>
      <w:pStyle w:val="Header"/>
      <w:ind w:hanging="851"/>
    </w:pPr>
  </w:p>
  <w:p w14:paraId="60B9C860" w14:textId="77777777" w:rsidR="00FB30EC" w:rsidRDefault="00FB30EC">
    <w:pPr>
      <w:pStyle w:val="Header"/>
      <w:ind w:hanging="851"/>
    </w:pPr>
  </w:p>
  <w:p w14:paraId="5248E84F" w14:textId="77777777" w:rsidR="00FB30EC" w:rsidRDefault="00FB30EC">
    <w:pPr>
      <w:pStyle w:val="Header"/>
      <w:ind w:hanging="851"/>
    </w:pPr>
  </w:p>
  <w:p w14:paraId="52050BF2" w14:textId="77777777" w:rsidR="00FB30EC" w:rsidRDefault="00FB30EC">
    <w:pPr>
      <w:pStyle w:val="Header"/>
      <w:ind w:hanging="851"/>
    </w:pPr>
  </w:p>
  <w:p w14:paraId="26A81650" w14:textId="77777777" w:rsidR="00FB30EC" w:rsidRDefault="00FB30EC">
    <w:pPr>
      <w:pStyle w:val="Header"/>
      <w:ind w:hanging="851"/>
    </w:pPr>
  </w:p>
  <w:p w14:paraId="196CB4E9" w14:textId="77777777" w:rsidR="00FB30EC" w:rsidRDefault="00FB30EC">
    <w:pPr>
      <w:pStyle w:val="Header"/>
      <w:ind w:hanging="851"/>
    </w:pPr>
  </w:p>
  <w:p w14:paraId="7A650ACF" w14:textId="77777777" w:rsidR="00FB30EC" w:rsidRDefault="00FB30EC">
    <w:pPr>
      <w:pStyle w:val="Header"/>
      <w:ind w:hanging="851"/>
    </w:pPr>
  </w:p>
  <w:p w14:paraId="115CA1EF" w14:textId="77777777" w:rsidR="00FB30EC" w:rsidRDefault="00FB30EC">
    <w:pPr>
      <w:pStyle w:val="Header"/>
      <w:ind w:hanging="851"/>
    </w:pPr>
  </w:p>
  <w:p w14:paraId="29BD15AF" w14:textId="77777777" w:rsidR="00FB30EC" w:rsidRDefault="00FB30EC">
    <w:pPr>
      <w:pStyle w:val="Header"/>
      <w:ind w:hanging="851"/>
    </w:pPr>
  </w:p>
  <w:p w14:paraId="55F5957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96604D7"/>
    <w:multiLevelType w:val="multilevel"/>
    <w:tmpl w:val="97C883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505D52"/>
    <w:multiLevelType w:val="multilevel"/>
    <w:tmpl w:val="B89E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719396">
    <w:abstractNumId w:val="1"/>
  </w:num>
  <w:num w:numId="2" w16cid:durableId="923608454">
    <w:abstractNumId w:val="3"/>
  </w:num>
  <w:num w:numId="3" w16cid:durableId="872765579">
    <w:abstractNumId w:val="5"/>
  </w:num>
  <w:num w:numId="4" w16cid:durableId="469976340">
    <w:abstractNumId w:val="7"/>
  </w:num>
  <w:num w:numId="5" w16cid:durableId="1307587148">
    <w:abstractNumId w:val="0"/>
  </w:num>
  <w:num w:numId="6" w16cid:durableId="1154562231">
    <w:abstractNumId w:val="6"/>
  </w:num>
  <w:num w:numId="7" w16cid:durableId="1128936884">
    <w:abstractNumId w:val="4"/>
  </w:num>
  <w:num w:numId="8" w16cid:durableId="1856268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E649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522EE"/>
    <w:rsid w:val="00362091"/>
    <w:rsid w:val="00363FF3"/>
    <w:rsid w:val="00384BB8"/>
    <w:rsid w:val="003921BE"/>
    <w:rsid w:val="003945FD"/>
    <w:rsid w:val="00396839"/>
    <w:rsid w:val="003A06E0"/>
    <w:rsid w:val="003A2529"/>
    <w:rsid w:val="003A7D97"/>
    <w:rsid w:val="003B3188"/>
    <w:rsid w:val="003C13EB"/>
    <w:rsid w:val="003C2DA1"/>
    <w:rsid w:val="003E434C"/>
    <w:rsid w:val="003E5792"/>
    <w:rsid w:val="003F7D0D"/>
    <w:rsid w:val="003F7D8E"/>
    <w:rsid w:val="0040622E"/>
    <w:rsid w:val="00411354"/>
    <w:rsid w:val="00427B33"/>
    <w:rsid w:val="0044091D"/>
    <w:rsid w:val="00440E9A"/>
    <w:rsid w:val="00445D34"/>
    <w:rsid w:val="004478D9"/>
    <w:rsid w:val="00452B10"/>
    <w:rsid w:val="0047118C"/>
    <w:rsid w:val="0047466C"/>
    <w:rsid w:val="00483ECC"/>
    <w:rsid w:val="00491483"/>
    <w:rsid w:val="00495A86"/>
    <w:rsid w:val="004B64A6"/>
    <w:rsid w:val="004B7611"/>
    <w:rsid w:val="004C63FE"/>
    <w:rsid w:val="004D0578"/>
    <w:rsid w:val="004D0FA2"/>
    <w:rsid w:val="004E280E"/>
    <w:rsid w:val="004E2B25"/>
    <w:rsid w:val="004F1398"/>
    <w:rsid w:val="004F534B"/>
    <w:rsid w:val="005015E0"/>
    <w:rsid w:val="00510EF2"/>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95BBA"/>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61DFF"/>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4172F"/>
    <w:rsid w:val="00961CD5"/>
    <w:rsid w:val="0096396C"/>
    <w:rsid w:val="00965427"/>
    <w:rsid w:val="00973EDC"/>
    <w:rsid w:val="0097580C"/>
    <w:rsid w:val="0098670F"/>
    <w:rsid w:val="00992674"/>
    <w:rsid w:val="009A14E3"/>
    <w:rsid w:val="009B56F7"/>
    <w:rsid w:val="009C0152"/>
    <w:rsid w:val="009C24F0"/>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50634"/>
    <w:rsid w:val="00E562FE"/>
    <w:rsid w:val="00E741C6"/>
    <w:rsid w:val="00E76A41"/>
    <w:rsid w:val="00E86292"/>
    <w:rsid w:val="00E86B91"/>
    <w:rsid w:val="00E91E59"/>
    <w:rsid w:val="00E92FD6"/>
    <w:rsid w:val="00EA1B9B"/>
    <w:rsid w:val="00EB10B0"/>
    <w:rsid w:val="00EC3EB1"/>
    <w:rsid w:val="00ED2916"/>
    <w:rsid w:val="00ED58A1"/>
    <w:rsid w:val="00ED7175"/>
    <w:rsid w:val="00EE43FC"/>
    <w:rsid w:val="00EF0A57"/>
    <w:rsid w:val="00F0113E"/>
    <w:rsid w:val="00F12060"/>
    <w:rsid w:val="00F139AD"/>
    <w:rsid w:val="00F341A5"/>
    <w:rsid w:val="00F611AD"/>
    <w:rsid w:val="00F63B31"/>
    <w:rsid w:val="00F652F4"/>
    <w:rsid w:val="00F70D80"/>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6B618F"/>
  <w15:chartTrackingRefBased/>
  <w15:docId w15:val="{F25542C4-04D8-42F9-AAAA-59A15C0F7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BA91B501-9F23-4277-90FB-993C67C298DC}">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6</TotalTime>
  <Pages>6</Pages>
  <Words>1682</Words>
  <Characters>9593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11253</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8</cp:revision>
  <dcterms:created xsi:type="dcterms:W3CDTF">2026-09-07T16:37:00Z</dcterms:created>
  <dcterms:modified xsi:type="dcterms:W3CDTF">2026-10-09T11:21:00Z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