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8586CC5" w14:textId="77777777" w:rsidTr="00FB30EC">
        <w:tblPrEx>
          <w:tblCellMar>
            <w:top w:w="0" w:type="dxa"/>
            <w:bottom w:w="0" w:type="dxa"/>
          </w:tblCellMar>
        </w:tblPrEx>
        <w:tc>
          <w:tcPr>
            <w:tcW w:w="5637" w:type="dxa"/>
          </w:tcPr>
          <w:p w14:paraId="38AFB8FC" w14:textId="77777777" w:rsidR="00FB30EC" w:rsidRPr="00D31651" w:rsidRDefault="00FB30EC" w:rsidP="00FB30EC">
            <w:pPr>
              <w:pStyle w:val="Header"/>
              <w:tabs>
                <w:tab w:val="left" w:pos="720"/>
              </w:tabs>
              <w:rPr>
                <w:rFonts w:ascii="Arial" w:hAnsi="Arial" w:cs="Arial"/>
              </w:rPr>
            </w:pPr>
          </w:p>
        </w:tc>
      </w:tr>
      <w:tr w:rsidR="00FB30EC" w:rsidRPr="00D31651" w14:paraId="65072FC4" w14:textId="77777777" w:rsidTr="00FB30EC">
        <w:tblPrEx>
          <w:tblCellMar>
            <w:top w:w="0" w:type="dxa"/>
            <w:bottom w:w="0" w:type="dxa"/>
          </w:tblCellMar>
        </w:tblPrEx>
        <w:tc>
          <w:tcPr>
            <w:tcW w:w="5637" w:type="dxa"/>
          </w:tcPr>
          <w:p w14:paraId="03519783"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C2E3D2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4EDD73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366511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3741BFB7" w14:textId="77777777" w:rsidR="00FB30EC" w:rsidRDefault="00FB30EC" w:rsidP="00FB30EC">
            <w:pPr>
              <w:pStyle w:val="Header"/>
              <w:tabs>
                <w:tab w:val="left" w:pos="720"/>
              </w:tabs>
              <w:rPr>
                <w:rFonts w:ascii="Arial" w:hAnsi="Arial" w:cs="Arial"/>
                <w:sz w:val="20"/>
                <w:szCs w:val="20"/>
              </w:rPr>
            </w:pPr>
          </w:p>
          <w:p w14:paraId="706499BB" w14:textId="77777777" w:rsidR="00FB30EC" w:rsidRPr="00D31651" w:rsidRDefault="00FB30EC" w:rsidP="00FB30EC">
            <w:pPr>
              <w:pStyle w:val="Header"/>
              <w:tabs>
                <w:tab w:val="left" w:pos="720"/>
              </w:tabs>
              <w:rPr>
                <w:rFonts w:ascii="Arial" w:hAnsi="Arial" w:cs="Arial"/>
                <w:sz w:val="20"/>
                <w:szCs w:val="20"/>
              </w:rPr>
            </w:pPr>
          </w:p>
          <w:p w14:paraId="5E6A9B5C" w14:textId="36418A0C"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84D83">
              <w:rPr>
                <w:rFonts w:ascii="Arial" w:hAnsi="Arial" w:cs="Arial"/>
              </w:rPr>
              <w:t>07/07/2026</w:t>
            </w:r>
          </w:p>
          <w:p w14:paraId="3AD6FF26" w14:textId="77777777" w:rsidR="00FB30EC" w:rsidRPr="00D31651" w:rsidRDefault="00FB30EC" w:rsidP="00FB30EC">
            <w:pPr>
              <w:pStyle w:val="Header"/>
              <w:tabs>
                <w:tab w:val="left" w:pos="720"/>
              </w:tabs>
              <w:rPr>
                <w:rFonts w:ascii="Arial" w:hAnsi="Arial" w:cs="Arial"/>
              </w:rPr>
            </w:pPr>
          </w:p>
        </w:tc>
      </w:tr>
      <w:tr w:rsidR="00FB30EC" w:rsidRPr="00D31651" w14:paraId="722331C8" w14:textId="77777777" w:rsidTr="00FB30EC">
        <w:tblPrEx>
          <w:tblCellMar>
            <w:top w:w="0" w:type="dxa"/>
            <w:bottom w:w="0" w:type="dxa"/>
          </w:tblCellMar>
        </w:tblPrEx>
        <w:tc>
          <w:tcPr>
            <w:tcW w:w="5637" w:type="dxa"/>
          </w:tcPr>
          <w:p w14:paraId="5FC05FAC" w14:textId="77777777" w:rsidR="00FB30EC" w:rsidRPr="00D31651" w:rsidRDefault="00FB30EC" w:rsidP="00FB30EC">
            <w:pPr>
              <w:tabs>
                <w:tab w:val="left" w:pos="1350"/>
              </w:tabs>
              <w:rPr>
                <w:rFonts w:ascii="Arial" w:hAnsi="Arial" w:cs="Arial"/>
                <w:szCs w:val="20"/>
              </w:rPr>
            </w:pPr>
          </w:p>
        </w:tc>
      </w:tr>
      <w:tr w:rsidR="00FB30EC" w:rsidRPr="00D31651" w14:paraId="01826505" w14:textId="77777777" w:rsidTr="00FB30EC">
        <w:tblPrEx>
          <w:tblCellMar>
            <w:top w:w="0" w:type="dxa"/>
            <w:bottom w:w="0" w:type="dxa"/>
          </w:tblCellMar>
        </w:tblPrEx>
        <w:tc>
          <w:tcPr>
            <w:tcW w:w="5637" w:type="dxa"/>
          </w:tcPr>
          <w:p w14:paraId="4B39BFDD" w14:textId="77777777" w:rsidR="00FB30EC" w:rsidRPr="00D31651" w:rsidRDefault="00FB30EC" w:rsidP="00FB30EC">
            <w:pPr>
              <w:tabs>
                <w:tab w:val="left" w:pos="1350"/>
              </w:tabs>
              <w:rPr>
                <w:rFonts w:ascii="Arial" w:hAnsi="Arial" w:cs="Arial"/>
                <w:szCs w:val="20"/>
              </w:rPr>
            </w:pPr>
          </w:p>
        </w:tc>
      </w:tr>
      <w:tr w:rsidR="00FB30EC" w:rsidRPr="00D31651" w14:paraId="3BA35291" w14:textId="77777777" w:rsidTr="00FB30EC">
        <w:tblPrEx>
          <w:tblCellMar>
            <w:top w:w="0" w:type="dxa"/>
            <w:bottom w:w="0" w:type="dxa"/>
          </w:tblCellMar>
        </w:tblPrEx>
        <w:tc>
          <w:tcPr>
            <w:tcW w:w="5637" w:type="dxa"/>
          </w:tcPr>
          <w:p w14:paraId="026A1B3B" w14:textId="77777777" w:rsidR="00FB30EC" w:rsidRPr="00D31651" w:rsidRDefault="00FB30EC" w:rsidP="00FB30EC">
            <w:pPr>
              <w:tabs>
                <w:tab w:val="left" w:pos="1350"/>
              </w:tabs>
              <w:rPr>
                <w:rFonts w:ascii="Arial" w:hAnsi="Arial" w:cs="Arial"/>
                <w:szCs w:val="20"/>
              </w:rPr>
            </w:pPr>
          </w:p>
        </w:tc>
      </w:tr>
      <w:tr w:rsidR="00FB30EC" w:rsidRPr="00D31651" w14:paraId="2F12C5B7" w14:textId="77777777" w:rsidTr="00FB30EC">
        <w:tblPrEx>
          <w:tblCellMar>
            <w:top w:w="0" w:type="dxa"/>
            <w:bottom w:w="0" w:type="dxa"/>
          </w:tblCellMar>
        </w:tblPrEx>
        <w:tc>
          <w:tcPr>
            <w:tcW w:w="5637" w:type="dxa"/>
          </w:tcPr>
          <w:p w14:paraId="03A3697E" w14:textId="77777777" w:rsidR="00FB30EC" w:rsidRPr="00D31651" w:rsidRDefault="00FB30EC" w:rsidP="00FB30EC">
            <w:pPr>
              <w:tabs>
                <w:tab w:val="left" w:pos="1350"/>
              </w:tabs>
              <w:rPr>
                <w:rFonts w:ascii="Arial" w:hAnsi="Arial" w:cs="Arial"/>
                <w:szCs w:val="20"/>
              </w:rPr>
            </w:pPr>
          </w:p>
        </w:tc>
      </w:tr>
      <w:tr w:rsidR="00FB30EC" w:rsidRPr="00D31651" w14:paraId="3CDF5265" w14:textId="77777777" w:rsidTr="00FB30EC">
        <w:tblPrEx>
          <w:tblCellMar>
            <w:top w:w="0" w:type="dxa"/>
            <w:bottom w:w="0" w:type="dxa"/>
          </w:tblCellMar>
        </w:tblPrEx>
        <w:tc>
          <w:tcPr>
            <w:tcW w:w="5637" w:type="dxa"/>
          </w:tcPr>
          <w:p w14:paraId="7E37C722" w14:textId="77777777" w:rsidR="00FB30EC" w:rsidRPr="00D31651" w:rsidRDefault="00FB30EC" w:rsidP="00FB30EC">
            <w:pPr>
              <w:tabs>
                <w:tab w:val="left" w:pos="1350"/>
              </w:tabs>
              <w:rPr>
                <w:rFonts w:ascii="Arial" w:hAnsi="Arial" w:cs="Arial"/>
                <w:szCs w:val="20"/>
              </w:rPr>
            </w:pPr>
          </w:p>
        </w:tc>
      </w:tr>
      <w:tr w:rsidR="00FB30EC" w:rsidRPr="00D31651" w14:paraId="75B49424" w14:textId="77777777" w:rsidTr="00FB30EC">
        <w:tblPrEx>
          <w:tblCellMar>
            <w:top w:w="0" w:type="dxa"/>
            <w:bottom w:w="0" w:type="dxa"/>
          </w:tblCellMar>
        </w:tblPrEx>
        <w:trPr>
          <w:trHeight w:val="80"/>
        </w:trPr>
        <w:tc>
          <w:tcPr>
            <w:tcW w:w="5637" w:type="dxa"/>
          </w:tcPr>
          <w:p w14:paraId="5E68CE06" w14:textId="77777777" w:rsidR="00FB30EC" w:rsidRPr="00D31651" w:rsidRDefault="00FB30EC" w:rsidP="00FB30EC">
            <w:pPr>
              <w:tabs>
                <w:tab w:val="left" w:pos="1350"/>
              </w:tabs>
              <w:rPr>
                <w:rFonts w:ascii="Arial" w:hAnsi="Arial" w:cs="Arial"/>
                <w:szCs w:val="20"/>
              </w:rPr>
            </w:pPr>
          </w:p>
        </w:tc>
      </w:tr>
    </w:tbl>
    <w:p w14:paraId="2BA432B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53AB09B"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7961C8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4D02D7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16C4B2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28CD23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F6A66A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FF0A4C7" w14:textId="77777777" w:rsidR="008E72E9" w:rsidRPr="007F4E77" w:rsidRDefault="008E72E9" w:rsidP="008E72E9">
      <w:pPr>
        <w:pStyle w:val="Heading1"/>
        <w:spacing w:after="0"/>
        <w:ind w:left="0"/>
        <w:rPr>
          <w:b w:val="0"/>
        </w:rPr>
      </w:pPr>
      <w:r w:rsidRPr="007F4E77">
        <w:rPr>
          <w:b w:val="0"/>
        </w:rPr>
        <w:t>Contact: Senior Information Governance Officer</w:t>
      </w:r>
    </w:p>
    <w:p w14:paraId="3DEE423B" w14:textId="77777777" w:rsidR="008E72E9" w:rsidRPr="007F4E77" w:rsidRDefault="008E72E9" w:rsidP="008E72E9">
      <w:pPr>
        <w:pStyle w:val="Heading1"/>
        <w:spacing w:after="0"/>
        <w:ind w:left="0"/>
        <w:rPr>
          <w:b w:val="0"/>
        </w:rPr>
      </w:pPr>
      <w:r w:rsidRPr="007F4E77">
        <w:rPr>
          <w:b w:val="0"/>
        </w:rPr>
        <w:t>T 01924 306112</w:t>
      </w:r>
    </w:p>
    <w:p w14:paraId="786FA666"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6E4F9681"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E4DD203"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A7EC6BD" w14:textId="77777777" w:rsidR="00EB10B0" w:rsidRDefault="00EB10B0" w:rsidP="00B71FDF">
      <w:pPr>
        <w:rPr>
          <w:rFonts w:ascii="Arial" w:hAnsi="Arial" w:cs="Arial"/>
        </w:rPr>
      </w:pPr>
    </w:p>
    <w:p w14:paraId="3C9AE7B3" w14:textId="77777777" w:rsidR="00EB10B0" w:rsidRDefault="00EB10B0" w:rsidP="0066165C">
      <w:pPr>
        <w:ind w:left="567"/>
        <w:rPr>
          <w:rFonts w:ascii="Arial" w:hAnsi="Arial" w:cs="Arial"/>
        </w:rPr>
      </w:pPr>
    </w:p>
    <w:p w14:paraId="1DB789DB"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25306982" w14:textId="77777777" w:rsidR="00D14AB1" w:rsidRDefault="00D14AB1" w:rsidP="00D14AB1">
      <w:pPr>
        <w:rPr>
          <w:rFonts w:ascii="Arial" w:hAnsi="Arial" w:cs="Arial"/>
        </w:rPr>
      </w:pPr>
    </w:p>
    <w:p w14:paraId="4D4C56A0"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4A40D06" w14:textId="0F7E27E5" w:rsidR="00FB182E" w:rsidRPr="00484D83" w:rsidRDefault="00FB182E" w:rsidP="00FB182E">
      <w:pPr>
        <w:rPr>
          <w:rFonts w:ascii="Arial" w:hAnsi="Arial" w:cs="Arial"/>
          <w:b/>
          <w:bCs/>
        </w:rPr>
      </w:pPr>
      <w:r w:rsidRPr="00484D83">
        <w:rPr>
          <w:rFonts w:ascii="Arial" w:hAnsi="Arial" w:cs="Arial"/>
          <w:b/>
          <w:bCs/>
        </w:rPr>
        <w:t xml:space="preserve">REF: </w:t>
      </w:r>
      <w:r w:rsidR="00484D83" w:rsidRPr="00484D83">
        <w:rPr>
          <w:rFonts w:ascii="Arial" w:hAnsi="Arial" w:cs="Arial"/>
          <w:b/>
          <w:bCs/>
        </w:rPr>
        <w:t>FOI 634</w:t>
      </w:r>
    </w:p>
    <w:p w14:paraId="24944AF1" w14:textId="77777777" w:rsidR="00D14AB1" w:rsidRPr="00D14AB1" w:rsidRDefault="00D14AB1" w:rsidP="00D14AB1">
      <w:pPr>
        <w:rPr>
          <w:rFonts w:ascii="Arial" w:hAnsi="Arial" w:cs="Arial"/>
          <w:b/>
          <w:bCs/>
        </w:rPr>
      </w:pPr>
    </w:p>
    <w:p w14:paraId="680BB606"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2452E00B" w14:textId="77777777" w:rsidR="00790AC8" w:rsidRPr="00D14AB1" w:rsidRDefault="00790AC8" w:rsidP="00D14AB1">
      <w:pPr>
        <w:rPr>
          <w:rFonts w:ascii="Arial" w:hAnsi="Arial" w:cs="Arial"/>
        </w:rPr>
      </w:pPr>
    </w:p>
    <w:p w14:paraId="1A69D400"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8F6BAD8" w14:textId="77777777" w:rsidR="00D14AB1" w:rsidRDefault="00D14AB1" w:rsidP="00D14AB1">
      <w:pPr>
        <w:rPr>
          <w:rFonts w:ascii="Arial" w:hAnsi="Arial" w:cs="Arial"/>
          <w:lang w:val="en-US"/>
        </w:rPr>
      </w:pPr>
    </w:p>
    <w:p w14:paraId="0A1278AD" w14:textId="77777777" w:rsidR="00484D83" w:rsidRPr="00484D83" w:rsidRDefault="00484D83" w:rsidP="00484D83">
      <w:pPr>
        <w:rPr>
          <w:rFonts w:ascii="Arial" w:hAnsi="Arial" w:cs="Arial"/>
          <w:kern w:val="2"/>
          <w:szCs w:val="22"/>
        </w:rPr>
      </w:pPr>
      <w:r w:rsidRPr="00484D83">
        <w:rPr>
          <w:rFonts w:ascii="Arial" w:hAnsi="Arial" w:cs="Arial"/>
          <w:kern w:val="2"/>
          <w:szCs w:val="22"/>
        </w:rPr>
        <w:t>Under the Freedom of Information Act, I would like to request the following information regarding your Public Health workforce:</w:t>
      </w:r>
    </w:p>
    <w:p w14:paraId="01AC3F5F" w14:textId="77777777" w:rsidR="00484D83" w:rsidRPr="00484D83" w:rsidRDefault="00484D83" w:rsidP="00484D83">
      <w:pPr>
        <w:rPr>
          <w:rFonts w:ascii="Arial" w:hAnsi="Arial" w:cs="Arial"/>
          <w:kern w:val="2"/>
          <w:szCs w:val="22"/>
        </w:rPr>
      </w:pPr>
    </w:p>
    <w:p w14:paraId="4807CDAB" w14:textId="77777777" w:rsidR="00484D83" w:rsidRDefault="00484D83" w:rsidP="00484D83">
      <w:pPr>
        <w:rPr>
          <w:rFonts w:ascii="Arial" w:hAnsi="Arial" w:cs="Arial"/>
          <w:kern w:val="2"/>
          <w:szCs w:val="22"/>
        </w:rPr>
      </w:pPr>
      <w:r w:rsidRPr="00484D83">
        <w:rPr>
          <w:rFonts w:ascii="Arial" w:hAnsi="Arial" w:cs="Arial"/>
          <w:kern w:val="2"/>
          <w:szCs w:val="22"/>
        </w:rPr>
        <w:t>-       Details of filled and unfilled roles for Public Health specialists on the specialist registers (e.g. Consultants in Public Health and Directors of Public Health) within your team</w:t>
      </w:r>
    </w:p>
    <w:p w14:paraId="694996FC" w14:textId="77777777" w:rsidR="00484D83" w:rsidRPr="00484D83" w:rsidRDefault="00484D83" w:rsidP="00484D83">
      <w:pPr>
        <w:rPr>
          <w:rFonts w:ascii="Arial" w:hAnsi="Arial" w:cs="Arial"/>
          <w:kern w:val="2"/>
          <w:szCs w:val="22"/>
        </w:rPr>
      </w:pPr>
    </w:p>
    <w:p w14:paraId="47322DD1" w14:textId="4760542D"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The responses have been issued on the basis that this request seeking information </w:t>
      </w:r>
      <w:r w:rsidRPr="00484D83">
        <w:rPr>
          <w:rFonts w:ascii="Arial" w:hAnsi="Arial" w:cs="Arial"/>
          <w:color w:val="0070C0"/>
          <w:kern w:val="2"/>
          <w:szCs w:val="22"/>
        </w:rPr>
        <w:t xml:space="preserve">specifically about </w:t>
      </w:r>
      <w:r w:rsidRPr="00484D83">
        <w:rPr>
          <w:rFonts w:ascii="Arial" w:hAnsi="Arial" w:cs="Arial"/>
          <w:color w:val="0070C0"/>
          <w:kern w:val="2"/>
          <w:szCs w:val="22"/>
        </w:rPr>
        <w:t xml:space="preserve">‘accredited public health specialists’ which are defined as people who have completed specialty training or achieved equivalence via a portfolio of retrospective practice that has been certified </w:t>
      </w:r>
    </w:p>
    <w:p w14:paraId="6B1496D2" w14:textId="77777777" w:rsidR="00484D83" w:rsidRPr="00484D83" w:rsidRDefault="00484D83" w:rsidP="00484D83">
      <w:pPr>
        <w:rPr>
          <w:rFonts w:ascii="Arial" w:hAnsi="Arial" w:cs="Arial"/>
          <w:color w:val="0070C0"/>
          <w:kern w:val="2"/>
          <w:szCs w:val="22"/>
        </w:rPr>
      </w:pPr>
    </w:p>
    <w:p w14:paraId="0FEAE5B6" w14:textId="46EE09FD"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In Wakefield, we currently have the Director of Public Health and four people filling 2.8fte consultant in public health roles within the council. These are the only roles required to be defined specialists on the register. </w:t>
      </w:r>
    </w:p>
    <w:p w14:paraId="36FD42E0" w14:textId="77777777" w:rsidR="00484D83" w:rsidRDefault="00484D83" w:rsidP="00484D83">
      <w:pPr>
        <w:rPr>
          <w:rFonts w:ascii="Arial" w:hAnsi="Arial" w:cs="Arial"/>
          <w:kern w:val="2"/>
          <w:szCs w:val="22"/>
        </w:rPr>
      </w:pPr>
    </w:p>
    <w:p w14:paraId="24EB691C" w14:textId="77777777" w:rsidR="00484D83" w:rsidRPr="00484D83" w:rsidRDefault="00484D83" w:rsidP="00484D83">
      <w:pPr>
        <w:rPr>
          <w:rFonts w:ascii="Arial" w:hAnsi="Arial" w:cs="Arial"/>
          <w:kern w:val="2"/>
          <w:szCs w:val="22"/>
        </w:rPr>
      </w:pPr>
      <w:hyperlink r:id="rId14" w:history="1">
        <w:r w:rsidRPr="00484D83">
          <w:rPr>
            <w:rStyle w:val="Hyperlink"/>
            <w:rFonts w:ascii="Arial" w:hAnsi="Arial" w:cs="Arial"/>
            <w:kern w:val="2"/>
            <w:szCs w:val="22"/>
          </w:rPr>
          <w:t>UK Public Health Register – View UKPHR Register</w:t>
        </w:r>
      </w:hyperlink>
    </w:p>
    <w:p w14:paraId="419DB537" w14:textId="77777777" w:rsidR="00484D83" w:rsidRDefault="00484D83" w:rsidP="00484D83">
      <w:pPr>
        <w:rPr>
          <w:rFonts w:ascii="Arial" w:hAnsi="Arial" w:cs="Arial"/>
          <w:kern w:val="2"/>
          <w:szCs w:val="22"/>
        </w:rPr>
      </w:pPr>
    </w:p>
    <w:p w14:paraId="28CBEE4C" w14:textId="77777777" w:rsidR="00484D83" w:rsidRDefault="00484D83" w:rsidP="00484D83">
      <w:pPr>
        <w:rPr>
          <w:rFonts w:ascii="Arial" w:hAnsi="Arial" w:cs="Arial"/>
          <w:kern w:val="2"/>
          <w:szCs w:val="22"/>
        </w:rPr>
      </w:pPr>
    </w:p>
    <w:p w14:paraId="12185D70" w14:textId="77777777" w:rsidR="00484D83" w:rsidRPr="00484D83" w:rsidRDefault="00484D83" w:rsidP="00484D83">
      <w:pPr>
        <w:rPr>
          <w:rFonts w:ascii="Arial" w:hAnsi="Arial" w:cs="Arial"/>
          <w:kern w:val="2"/>
          <w:szCs w:val="22"/>
        </w:rPr>
      </w:pPr>
    </w:p>
    <w:p w14:paraId="6E69EEC4" w14:textId="77777777" w:rsidR="00484D83" w:rsidRPr="00484D83" w:rsidRDefault="00484D83" w:rsidP="00484D83">
      <w:pPr>
        <w:rPr>
          <w:rFonts w:ascii="Arial" w:hAnsi="Arial" w:cs="Arial"/>
          <w:kern w:val="2"/>
          <w:szCs w:val="22"/>
        </w:rPr>
      </w:pPr>
      <w:r w:rsidRPr="00484D83">
        <w:rPr>
          <w:rFonts w:ascii="Arial" w:hAnsi="Arial" w:cs="Arial"/>
          <w:kern w:val="2"/>
          <w:szCs w:val="22"/>
        </w:rPr>
        <w:lastRenderedPageBreak/>
        <w:t>-       The whole-time equivalent (WTE) for each role</w:t>
      </w:r>
    </w:p>
    <w:p w14:paraId="70F9B748" w14:textId="77777777" w:rsidR="00484D83" w:rsidRPr="00484D83" w:rsidRDefault="00484D83" w:rsidP="00484D83">
      <w:pPr>
        <w:rPr>
          <w:rFonts w:ascii="Arial" w:hAnsi="Arial" w:cs="Arial"/>
          <w:kern w:val="2"/>
          <w:szCs w:val="22"/>
        </w:rPr>
      </w:pPr>
      <w:r w:rsidRPr="00484D83">
        <w:rPr>
          <w:rFonts w:ascii="Arial" w:hAnsi="Arial" w:cs="Arial"/>
          <w:kern w:val="2"/>
          <w:szCs w:val="22"/>
        </w:rPr>
        <w:t>-       The total remuneration package for each post, both actual and full-time equivalent</w:t>
      </w:r>
    </w:p>
    <w:p w14:paraId="36F93C85" w14:textId="77777777" w:rsidR="00484D83" w:rsidRPr="00484D83" w:rsidRDefault="00484D83" w:rsidP="00484D83">
      <w:pPr>
        <w:rPr>
          <w:rFonts w:ascii="Arial" w:hAnsi="Arial" w:cs="Arial"/>
          <w:kern w:val="2"/>
          <w:szCs w:val="22"/>
        </w:rPr>
      </w:pPr>
      <w:r w:rsidRPr="00484D83">
        <w:rPr>
          <w:rFonts w:ascii="Arial" w:hAnsi="Arial" w:cs="Arial"/>
          <w:kern w:val="2"/>
          <w:szCs w:val="22"/>
        </w:rPr>
        <w:t>-       The salary ceiling for each role</w:t>
      </w:r>
    </w:p>
    <w:p w14:paraId="12937B6F" w14:textId="77777777" w:rsidR="00484D83" w:rsidRPr="00484D83" w:rsidRDefault="00484D83" w:rsidP="00484D83">
      <w:pPr>
        <w:rPr>
          <w:rFonts w:ascii="Arial" w:hAnsi="Arial" w:cs="Arial"/>
          <w:kern w:val="2"/>
          <w:szCs w:val="22"/>
        </w:rPr>
      </w:pPr>
      <w:r w:rsidRPr="00484D83">
        <w:rPr>
          <w:rFonts w:ascii="Arial" w:hAnsi="Arial" w:cs="Arial"/>
          <w:kern w:val="2"/>
          <w:szCs w:val="22"/>
        </w:rPr>
        <w:t>-       Whether each role is permanent, fixed term or a secondment</w:t>
      </w:r>
    </w:p>
    <w:p w14:paraId="3EF2FEE2" w14:textId="77777777" w:rsidR="00484D83" w:rsidRPr="00484D83" w:rsidRDefault="00484D83" w:rsidP="00484D83">
      <w:pPr>
        <w:rPr>
          <w:rFonts w:ascii="Arial" w:hAnsi="Arial" w:cs="Arial"/>
          <w:kern w:val="2"/>
          <w:szCs w:val="22"/>
        </w:rPr>
      </w:pPr>
      <w:r w:rsidRPr="00484D83">
        <w:rPr>
          <w:rFonts w:ascii="Arial" w:hAnsi="Arial" w:cs="Arial"/>
          <w:kern w:val="2"/>
          <w:szCs w:val="22"/>
        </w:rPr>
        <w:t>-       The total population served (for teams working across multiple local authorities please report the combined population)</w:t>
      </w:r>
    </w:p>
    <w:p w14:paraId="0B28E85D" w14:textId="77777777" w:rsidR="00484D83" w:rsidRPr="00484D83" w:rsidRDefault="00484D83" w:rsidP="00484D83">
      <w:pPr>
        <w:rPr>
          <w:rFonts w:ascii="Arial" w:hAnsi="Arial" w:cs="Arial"/>
          <w:kern w:val="2"/>
          <w:szCs w:val="22"/>
        </w:rPr>
      </w:pPr>
      <w:r w:rsidRPr="00484D83">
        <w:rPr>
          <w:rFonts w:ascii="Arial" w:hAnsi="Arial" w:cs="Arial"/>
          <w:kern w:val="2"/>
          <w:szCs w:val="22"/>
        </w:rPr>
        <w:t>-       Director of Public Health and Public Health specialist capacity per million population, and per local authority where there are joint teams or appointments</w:t>
      </w:r>
    </w:p>
    <w:p w14:paraId="3B66FD78" w14:textId="77777777" w:rsidR="00484D83" w:rsidRPr="00484D83" w:rsidRDefault="00484D83" w:rsidP="00484D83">
      <w:pPr>
        <w:rPr>
          <w:rFonts w:ascii="Arial" w:hAnsi="Arial" w:cs="Arial"/>
          <w:kern w:val="2"/>
          <w:szCs w:val="22"/>
        </w:rPr>
      </w:pPr>
      <w:r w:rsidRPr="00484D83">
        <w:rPr>
          <w:rFonts w:ascii="Arial" w:hAnsi="Arial" w:cs="Arial"/>
          <w:kern w:val="2"/>
          <w:szCs w:val="22"/>
        </w:rPr>
        <w:t>-       Please provide the title and full-time equivalent remuneration package for staff in the Public Health team earning above £70,000 but not required to be on the Public Health Specialist Registers.</w:t>
      </w:r>
    </w:p>
    <w:p w14:paraId="7916BB95" w14:textId="77777777" w:rsidR="00484D83" w:rsidRPr="00484D83" w:rsidRDefault="00484D83" w:rsidP="00484D83">
      <w:pPr>
        <w:rPr>
          <w:rFonts w:ascii="Arial" w:hAnsi="Arial" w:cs="Arial"/>
          <w:kern w:val="2"/>
          <w:szCs w:val="22"/>
        </w:rPr>
      </w:pPr>
    </w:p>
    <w:p w14:paraId="78273EE8"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For reference, the Local Government Transparency Code 2015 requires authorities to publish details of employees whose remuneration is at least £50,000, including job titles, a list of responsibilities (for example, the services and functions they are responsible for, budget held and number of staff) and details of bonuses and benefits-in-kind. The Local Government Association has published relevant guidance: </w:t>
      </w:r>
      <w:hyperlink r:id="rId15" w:history="1">
        <w:r w:rsidRPr="00484D83">
          <w:rPr>
            <w:rFonts w:ascii="Arial" w:hAnsi="Arial" w:cs="Arial"/>
            <w:color w:val="467886"/>
            <w:kern w:val="2"/>
            <w:szCs w:val="22"/>
            <w:u w:val="single"/>
          </w:rPr>
          <w:t>https://eur03.safelinks.protection.outlook.com/?url=https%3A%2F%2Fwww.local.gov.uk%2Fsites%2Fdefault%2Ffiles%2Fdocuments%2Fpublishing-organisation-i-faa.pdf&amp;data=05%7C02%7Cfreedomofinformation%40wakefield.gov.uk%7C5f24062187ca4e9d6b3b08decbf6e707%7Cd76faab796b740c79b253d2fbd4ac1f1%7C0%7C0%7C639172458484470492%7CUnknown%7CTWFpbGZsb3d8eyJFbXB0eU1hcGkiOnRydWUsIlYiOiIwLjAuMDAwMCIsIlAiOiJXaW4zMiIsIkFOIjoiTWFpbCIsIldUIjoyfQ%3D%3D%7C0%7C%7C%7C&amp;sdata=%2FXXgzFLLWWy08dhyEyytpy0pVSXKo4gKCsQHFkbL5AU%3D&amp;reserved=0</w:t>
        </w:r>
      </w:hyperlink>
    </w:p>
    <w:p w14:paraId="14A54D2F" w14:textId="77777777" w:rsidR="00484D83" w:rsidRPr="00484D83" w:rsidRDefault="00484D83" w:rsidP="00484D83">
      <w:pPr>
        <w:rPr>
          <w:rFonts w:ascii="Arial" w:hAnsi="Arial" w:cs="Arial"/>
          <w:kern w:val="2"/>
          <w:szCs w:val="22"/>
        </w:rPr>
      </w:pPr>
      <w:hyperlink r:id="rId16" w:history="1">
        <w:r w:rsidRPr="00484D83">
          <w:rPr>
            <w:rFonts w:ascii="Arial" w:hAnsi="Arial" w:cs="Arial"/>
            <w:color w:val="467886"/>
            <w:kern w:val="2"/>
            <w:szCs w:val="22"/>
            <w:u w:val="single"/>
          </w:rPr>
          <w:t>https://eur03.safelinks.protection.outlook.com/?url=https%3A%2F%2Fwww.gov.uk%2Fgovernment%2Fpublications%2Flocal-government-transparency-code-2015%2Flocal-government-transparency-code-2015&amp;data=05%7C02%7Cfreedomofinformation%40wakefield.gov.uk%7C5f24062187ca4e9d6b3b08decbf6e707%7Cd76faab796b740c79b253d2fbd4ac1f1%7C0%7C0%7C639172458484497226%7CUnknown%7CTWFpbGZsb3d8eyJFbXB0eU1hcGkiOnRydWUsIlYiOiIwLjAuMDAwMCIsIlAiOiJXaW4zMiIsIkFOIjoiTWFpbCIsIldUIjoyfQ%3D%3D%7C0%7C%7C%7C&amp;sdata=HUEcMWEeWSwEBR8%2B2cHrJ6Q0wLKrh0R7ZKaBypPpVko%3D&amp;reserved=0</w:t>
        </w:r>
      </w:hyperlink>
    </w:p>
    <w:p w14:paraId="248EC424" w14:textId="77777777" w:rsidR="00484D83" w:rsidRPr="00484D83" w:rsidRDefault="00484D83" w:rsidP="00484D83">
      <w:pPr>
        <w:rPr>
          <w:rFonts w:ascii="Arial" w:hAnsi="Arial" w:cs="Arial"/>
          <w:kern w:val="2"/>
          <w:szCs w:val="22"/>
        </w:rPr>
      </w:pPr>
    </w:p>
    <w:p w14:paraId="1407582C" w14:textId="77777777" w:rsidR="00484D83" w:rsidRPr="00484D83" w:rsidRDefault="00484D83" w:rsidP="00484D83">
      <w:pPr>
        <w:rPr>
          <w:rFonts w:ascii="Arial" w:hAnsi="Arial" w:cs="Arial"/>
          <w:kern w:val="2"/>
          <w:szCs w:val="22"/>
        </w:rPr>
      </w:pPr>
      <w:r w:rsidRPr="00484D83">
        <w:rPr>
          <w:rFonts w:ascii="Arial" w:hAnsi="Arial" w:cs="Arial"/>
          <w:kern w:val="2"/>
          <w:szCs w:val="22"/>
        </w:rPr>
        <w:t>We suggest presenting the data in the following format:</w:t>
      </w:r>
    </w:p>
    <w:p w14:paraId="78CE4136" w14:textId="77777777" w:rsidR="00484D83" w:rsidRPr="00484D83" w:rsidRDefault="00484D83" w:rsidP="00484D83">
      <w:pPr>
        <w:rPr>
          <w:rFonts w:ascii="Arial" w:hAnsi="Arial" w:cs="Arial"/>
          <w:kern w:val="2"/>
          <w:szCs w:val="22"/>
        </w:rPr>
      </w:pPr>
      <w:r w:rsidRPr="00484D83">
        <w:rPr>
          <w:rFonts w:ascii="Arial" w:hAnsi="Arial" w:cs="Arial"/>
          <w:kern w:val="2"/>
          <w:szCs w:val="22"/>
        </w:rPr>
        <w:t>Table 1: Public Health Specialists:</w:t>
      </w:r>
    </w:p>
    <w:p w14:paraId="1BA89B6C"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Job Title | WTE | Actual total remuneration | Full time equivalent </w:t>
      </w:r>
    </w:p>
    <w:p w14:paraId="2E5F39CE" w14:textId="77777777" w:rsidR="00484D83" w:rsidRPr="00484D83" w:rsidRDefault="00484D83" w:rsidP="00484D83">
      <w:pPr>
        <w:rPr>
          <w:rFonts w:ascii="Arial" w:hAnsi="Arial" w:cs="Arial"/>
          <w:kern w:val="2"/>
          <w:szCs w:val="22"/>
        </w:rPr>
      </w:pPr>
      <w:r w:rsidRPr="00484D83">
        <w:rPr>
          <w:rFonts w:ascii="Arial" w:hAnsi="Arial" w:cs="Arial"/>
          <w:kern w:val="2"/>
          <w:szCs w:val="22"/>
        </w:rPr>
        <w:t>| total remuneration | Salary ceiling | Contract type | Vacant (Y/N) |</w:t>
      </w:r>
    </w:p>
    <w:p w14:paraId="163956D3" w14:textId="77777777" w:rsidR="00484D83" w:rsidRDefault="00484D83" w:rsidP="00484D83">
      <w:pPr>
        <w:rPr>
          <w:rFonts w:ascii="Arial" w:hAnsi="Arial" w:cs="Arial"/>
          <w:kern w:val="2"/>
          <w:szCs w:val="22"/>
        </w:rPr>
      </w:pPr>
    </w:p>
    <w:p w14:paraId="31056009" w14:textId="2B83B5A6"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Please see attached CSV document in response to this question. </w:t>
      </w:r>
    </w:p>
    <w:p w14:paraId="0A0BEB6C" w14:textId="77777777" w:rsidR="00484D83" w:rsidRDefault="00484D83" w:rsidP="00484D83">
      <w:pPr>
        <w:rPr>
          <w:rFonts w:ascii="Arial" w:hAnsi="Arial" w:cs="Arial"/>
          <w:color w:val="0070C0"/>
          <w:kern w:val="2"/>
          <w:szCs w:val="22"/>
        </w:rPr>
      </w:pPr>
    </w:p>
    <w:p w14:paraId="7FAAAEE9" w14:textId="55C1E21A"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The attached shows the specialist rolls and then the roles that have a salary ceiling of over 70K</w:t>
      </w:r>
    </w:p>
    <w:p w14:paraId="520520C5" w14:textId="77777777" w:rsidR="00484D83" w:rsidRPr="00484D83" w:rsidRDefault="00484D83" w:rsidP="00484D83">
      <w:pPr>
        <w:rPr>
          <w:rFonts w:ascii="Arial" w:hAnsi="Arial" w:cs="Arial"/>
          <w:color w:val="0070C0"/>
          <w:kern w:val="2"/>
          <w:szCs w:val="22"/>
        </w:rPr>
      </w:pPr>
    </w:p>
    <w:p w14:paraId="29C716C9" w14:textId="77777777"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The total remuneration figures include the </w:t>
      </w:r>
      <w:proofErr w:type="gramStart"/>
      <w:r w:rsidRPr="00484D83">
        <w:rPr>
          <w:rFonts w:ascii="Arial" w:hAnsi="Arial" w:cs="Arial"/>
          <w:color w:val="0070C0"/>
          <w:kern w:val="2"/>
          <w:szCs w:val="22"/>
        </w:rPr>
        <w:t>employers</w:t>
      </w:r>
      <w:proofErr w:type="gramEnd"/>
      <w:r w:rsidRPr="00484D83">
        <w:rPr>
          <w:rFonts w:ascii="Arial" w:hAnsi="Arial" w:cs="Arial"/>
          <w:color w:val="0070C0"/>
          <w:kern w:val="2"/>
          <w:szCs w:val="22"/>
        </w:rPr>
        <w:t xml:space="preserve"> pensions contributions at the rates applicable to the roles – some are JNC, most are NHS.</w:t>
      </w:r>
    </w:p>
    <w:p w14:paraId="7EC1504C" w14:textId="77777777" w:rsidR="00484D83" w:rsidRPr="00484D83" w:rsidRDefault="00484D83" w:rsidP="00484D83">
      <w:pPr>
        <w:rPr>
          <w:rFonts w:ascii="Arial" w:hAnsi="Arial" w:cs="Arial"/>
          <w:kern w:val="2"/>
          <w:szCs w:val="22"/>
        </w:rPr>
      </w:pPr>
    </w:p>
    <w:p w14:paraId="30C49EF7" w14:textId="77777777" w:rsidR="00484D83" w:rsidRPr="00484D83" w:rsidRDefault="00484D83" w:rsidP="00484D83">
      <w:pPr>
        <w:rPr>
          <w:rFonts w:ascii="Arial" w:hAnsi="Arial" w:cs="Arial"/>
          <w:kern w:val="2"/>
          <w:szCs w:val="22"/>
        </w:rPr>
      </w:pPr>
      <w:r w:rsidRPr="00484D83">
        <w:rPr>
          <w:rFonts w:ascii="Arial" w:hAnsi="Arial" w:cs="Arial"/>
          <w:kern w:val="2"/>
          <w:szCs w:val="22"/>
        </w:rPr>
        <w:t>Table 2: Capacity per million population (Please separate DPH and specialist capacity if required)</w:t>
      </w:r>
    </w:p>
    <w:p w14:paraId="7D0261CB" w14:textId="77777777" w:rsidR="00484D83" w:rsidRPr="00484D83" w:rsidRDefault="00484D83" w:rsidP="00484D83">
      <w:pPr>
        <w:rPr>
          <w:rFonts w:ascii="Arial" w:hAnsi="Arial" w:cs="Arial"/>
          <w:kern w:val="2"/>
          <w:szCs w:val="22"/>
        </w:rPr>
      </w:pPr>
    </w:p>
    <w:p w14:paraId="36A6FA23" w14:textId="77777777" w:rsidR="00484D83" w:rsidRPr="00484D83" w:rsidRDefault="00484D83" w:rsidP="00484D83">
      <w:pPr>
        <w:rPr>
          <w:rFonts w:ascii="Arial" w:hAnsi="Arial" w:cs="Arial"/>
          <w:kern w:val="2"/>
          <w:szCs w:val="22"/>
        </w:rPr>
      </w:pPr>
      <w:r w:rsidRPr="00484D83">
        <w:rPr>
          <w:rFonts w:ascii="Arial" w:hAnsi="Arial" w:cs="Arial"/>
          <w:kern w:val="2"/>
          <w:szCs w:val="22"/>
        </w:rPr>
        <w:t>Single authority teams:</w:t>
      </w:r>
    </w:p>
    <w:p w14:paraId="3ED6DC65"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Total population | DPH capacity per million population | Specialist </w:t>
      </w:r>
    </w:p>
    <w:p w14:paraId="53D1EAB4" w14:textId="77777777" w:rsidR="00484D83" w:rsidRPr="00484D83" w:rsidRDefault="00484D83" w:rsidP="00484D83">
      <w:pPr>
        <w:rPr>
          <w:rFonts w:ascii="Arial" w:hAnsi="Arial" w:cs="Arial"/>
          <w:kern w:val="2"/>
          <w:szCs w:val="22"/>
        </w:rPr>
      </w:pPr>
      <w:r w:rsidRPr="00484D83">
        <w:rPr>
          <w:rFonts w:ascii="Arial" w:hAnsi="Arial" w:cs="Arial"/>
          <w:kern w:val="2"/>
          <w:szCs w:val="22"/>
        </w:rPr>
        <w:t>| capacity per million population |</w:t>
      </w:r>
    </w:p>
    <w:p w14:paraId="3725D754" w14:textId="77777777" w:rsidR="00484D83" w:rsidRDefault="00484D83" w:rsidP="00484D83">
      <w:pPr>
        <w:rPr>
          <w:rFonts w:ascii="Arial" w:hAnsi="Arial" w:cs="Arial"/>
          <w:kern w:val="2"/>
          <w:szCs w:val="22"/>
        </w:rPr>
      </w:pPr>
    </w:p>
    <w:p w14:paraId="301AAB13" w14:textId="77777777"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The ONS mid-2024 population estimate for Wakefield was 367,666 people.</w:t>
      </w:r>
    </w:p>
    <w:p w14:paraId="0A21C8AE" w14:textId="77777777" w:rsidR="00484D83" w:rsidRPr="00484D83" w:rsidRDefault="00484D83" w:rsidP="00484D83">
      <w:pPr>
        <w:rPr>
          <w:rFonts w:ascii="Arial" w:hAnsi="Arial" w:cs="Arial"/>
          <w:kern w:val="2"/>
          <w:szCs w:val="22"/>
        </w:rPr>
      </w:pPr>
      <w:hyperlink r:id="rId17" w:history="1">
        <w:r w:rsidRPr="00484D83">
          <w:rPr>
            <w:rStyle w:val="Hyperlink"/>
            <w:rFonts w:ascii="Arial" w:hAnsi="Arial" w:cs="Arial"/>
            <w:kern w:val="2"/>
            <w:szCs w:val="22"/>
          </w:rPr>
          <w:t>Resident population – Wakefield JSNA</w:t>
        </w:r>
      </w:hyperlink>
    </w:p>
    <w:p w14:paraId="06F513A6" w14:textId="77777777" w:rsidR="00484D83" w:rsidRDefault="00484D83" w:rsidP="00484D83">
      <w:pPr>
        <w:rPr>
          <w:rFonts w:ascii="Arial" w:hAnsi="Arial" w:cs="Arial"/>
          <w:kern w:val="2"/>
          <w:szCs w:val="22"/>
        </w:rPr>
      </w:pPr>
    </w:p>
    <w:p w14:paraId="1C52D0A2" w14:textId="77777777" w:rsidR="00484D83" w:rsidRPr="00484D83" w:rsidRDefault="00484D83" w:rsidP="00484D83">
      <w:pPr>
        <w:rPr>
          <w:rFonts w:ascii="Arial" w:hAnsi="Arial" w:cs="Arial"/>
          <w:kern w:val="2"/>
          <w:szCs w:val="22"/>
        </w:rPr>
      </w:pPr>
    </w:p>
    <w:p w14:paraId="41C2867C" w14:textId="77777777" w:rsidR="00484D83" w:rsidRPr="00484D83" w:rsidRDefault="00484D83" w:rsidP="00484D83">
      <w:pPr>
        <w:rPr>
          <w:rFonts w:ascii="Arial" w:hAnsi="Arial" w:cs="Arial"/>
          <w:kern w:val="2"/>
          <w:szCs w:val="22"/>
        </w:rPr>
      </w:pPr>
      <w:r w:rsidRPr="00484D83">
        <w:rPr>
          <w:rFonts w:ascii="Arial" w:hAnsi="Arial" w:cs="Arial"/>
          <w:kern w:val="2"/>
          <w:szCs w:val="22"/>
        </w:rPr>
        <w:t>Combined teams:</w:t>
      </w:r>
    </w:p>
    <w:p w14:paraId="5EAE1C23"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Local authorities served | Total population | DPH capacity per million </w:t>
      </w:r>
    </w:p>
    <w:p w14:paraId="587A436E"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population | DPH capacity per LA | Local authorities served | Total </w:t>
      </w:r>
    </w:p>
    <w:p w14:paraId="6579AF32"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population | Specialist capacity per million population | Specialist </w:t>
      </w:r>
    </w:p>
    <w:p w14:paraId="08430203" w14:textId="77777777" w:rsidR="00484D83" w:rsidRPr="00484D83" w:rsidRDefault="00484D83" w:rsidP="00484D83">
      <w:pPr>
        <w:rPr>
          <w:rFonts w:ascii="Arial" w:hAnsi="Arial" w:cs="Arial"/>
          <w:kern w:val="2"/>
          <w:szCs w:val="22"/>
        </w:rPr>
      </w:pPr>
      <w:r w:rsidRPr="00484D83">
        <w:rPr>
          <w:rFonts w:ascii="Arial" w:hAnsi="Arial" w:cs="Arial"/>
          <w:kern w:val="2"/>
          <w:szCs w:val="22"/>
        </w:rPr>
        <w:t>| capacity per LA |</w:t>
      </w:r>
    </w:p>
    <w:p w14:paraId="0DB0CF56" w14:textId="77777777" w:rsidR="00484D83" w:rsidRDefault="00484D83" w:rsidP="00484D83">
      <w:pPr>
        <w:rPr>
          <w:rFonts w:ascii="Arial" w:hAnsi="Arial" w:cs="Arial"/>
          <w:kern w:val="2"/>
          <w:szCs w:val="22"/>
        </w:rPr>
      </w:pPr>
    </w:p>
    <w:p w14:paraId="55B57448" w14:textId="7107484B"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N/A</w:t>
      </w:r>
    </w:p>
    <w:p w14:paraId="460E312B" w14:textId="77777777" w:rsidR="00484D83" w:rsidRPr="00484D83" w:rsidRDefault="00484D83" w:rsidP="00484D83">
      <w:pPr>
        <w:rPr>
          <w:rFonts w:ascii="Arial" w:hAnsi="Arial" w:cs="Arial"/>
          <w:kern w:val="2"/>
          <w:szCs w:val="22"/>
        </w:rPr>
      </w:pPr>
    </w:p>
    <w:p w14:paraId="530ECA17"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Table 3: </w:t>
      </w:r>
      <w:proofErr w:type="gramStart"/>
      <w:r w:rsidRPr="00484D83">
        <w:rPr>
          <w:rFonts w:ascii="Arial" w:hAnsi="Arial" w:cs="Arial"/>
          <w:kern w:val="2"/>
          <w:szCs w:val="22"/>
        </w:rPr>
        <w:t>Non specialists</w:t>
      </w:r>
      <w:proofErr w:type="gramEnd"/>
      <w:r w:rsidRPr="00484D83">
        <w:rPr>
          <w:rFonts w:ascii="Arial" w:hAnsi="Arial" w:cs="Arial"/>
          <w:kern w:val="2"/>
          <w:szCs w:val="22"/>
        </w:rPr>
        <w:t xml:space="preserve"> earning above £70,000 (full time equivalent) in the Public Health team</w:t>
      </w:r>
    </w:p>
    <w:p w14:paraId="796BC8DE" w14:textId="77777777" w:rsidR="00484D83" w:rsidRPr="00484D83" w:rsidRDefault="00484D83" w:rsidP="00484D83">
      <w:pPr>
        <w:rPr>
          <w:rFonts w:ascii="Arial" w:hAnsi="Arial" w:cs="Arial"/>
          <w:kern w:val="2"/>
          <w:szCs w:val="22"/>
        </w:rPr>
      </w:pPr>
      <w:r w:rsidRPr="00484D83">
        <w:rPr>
          <w:rFonts w:ascii="Arial" w:hAnsi="Arial" w:cs="Arial"/>
          <w:kern w:val="2"/>
          <w:szCs w:val="22"/>
        </w:rPr>
        <w:t xml:space="preserve">| Job Title | WTE | Full time equivalent total remuneration | Salary </w:t>
      </w:r>
    </w:p>
    <w:p w14:paraId="3705D7CC" w14:textId="77777777" w:rsidR="00484D83" w:rsidRPr="00484D83" w:rsidRDefault="00484D83" w:rsidP="00484D83">
      <w:pPr>
        <w:rPr>
          <w:rFonts w:ascii="Arial" w:hAnsi="Arial" w:cs="Arial"/>
          <w:kern w:val="2"/>
          <w:szCs w:val="22"/>
        </w:rPr>
      </w:pPr>
      <w:r w:rsidRPr="00484D83">
        <w:rPr>
          <w:rFonts w:ascii="Arial" w:hAnsi="Arial" w:cs="Arial"/>
          <w:kern w:val="2"/>
          <w:szCs w:val="22"/>
        </w:rPr>
        <w:t>| ceiling |</w:t>
      </w:r>
    </w:p>
    <w:p w14:paraId="76347D5B" w14:textId="77777777" w:rsidR="00484D83" w:rsidRPr="00484D83" w:rsidRDefault="00484D83" w:rsidP="00484D83">
      <w:pPr>
        <w:rPr>
          <w:rFonts w:ascii="Arial" w:hAnsi="Arial" w:cs="Arial"/>
          <w:kern w:val="2"/>
          <w:szCs w:val="22"/>
        </w:rPr>
      </w:pPr>
    </w:p>
    <w:p w14:paraId="2E381695" w14:textId="77777777"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Please see attached CSV document in response to this question. </w:t>
      </w:r>
    </w:p>
    <w:p w14:paraId="0670496F" w14:textId="77777777" w:rsidR="00484D83" w:rsidRDefault="00484D83" w:rsidP="00484D83">
      <w:pPr>
        <w:rPr>
          <w:rFonts w:ascii="Arial" w:hAnsi="Arial" w:cs="Arial"/>
          <w:kern w:val="2"/>
          <w:szCs w:val="22"/>
        </w:rPr>
      </w:pPr>
    </w:p>
    <w:p w14:paraId="4DAABEBB" w14:textId="6A0DE1D1"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The attached shows the specialist rolls and then the roles that have a salary ceiling of over 70K</w:t>
      </w:r>
    </w:p>
    <w:p w14:paraId="2A63E76C" w14:textId="77777777" w:rsidR="00484D83" w:rsidRPr="00484D83" w:rsidRDefault="00484D83" w:rsidP="00484D83">
      <w:pPr>
        <w:rPr>
          <w:rFonts w:ascii="Arial" w:hAnsi="Arial" w:cs="Arial"/>
          <w:color w:val="0070C0"/>
          <w:kern w:val="2"/>
          <w:szCs w:val="22"/>
        </w:rPr>
      </w:pPr>
    </w:p>
    <w:p w14:paraId="55B1EBC1" w14:textId="77777777" w:rsidR="00484D83" w:rsidRPr="00484D83" w:rsidRDefault="00484D83" w:rsidP="00484D83">
      <w:pPr>
        <w:rPr>
          <w:rFonts w:ascii="Arial" w:hAnsi="Arial" w:cs="Arial"/>
          <w:color w:val="0070C0"/>
          <w:kern w:val="2"/>
          <w:szCs w:val="22"/>
        </w:rPr>
      </w:pPr>
      <w:r w:rsidRPr="00484D83">
        <w:rPr>
          <w:rFonts w:ascii="Arial" w:hAnsi="Arial" w:cs="Arial"/>
          <w:color w:val="0070C0"/>
          <w:kern w:val="2"/>
          <w:szCs w:val="22"/>
        </w:rPr>
        <w:t xml:space="preserve">The total remuneration figures include the </w:t>
      </w:r>
      <w:proofErr w:type="gramStart"/>
      <w:r w:rsidRPr="00484D83">
        <w:rPr>
          <w:rFonts w:ascii="Arial" w:hAnsi="Arial" w:cs="Arial"/>
          <w:color w:val="0070C0"/>
          <w:kern w:val="2"/>
          <w:szCs w:val="22"/>
        </w:rPr>
        <w:t>employers</w:t>
      </w:r>
      <w:proofErr w:type="gramEnd"/>
      <w:r w:rsidRPr="00484D83">
        <w:rPr>
          <w:rFonts w:ascii="Arial" w:hAnsi="Arial" w:cs="Arial"/>
          <w:color w:val="0070C0"/>
          <w:kern w:val="2"/>
          <w:szCs w:val="22"/>
        </w:rPr>
        <w:t xml:space="preserve"> pensions contributions at the rates applicable to the roles – some are JNC, most are NHS.</w:t>
      </w:r>
    </w:p>
    <w:p w14:paraId="5DC28234" w14:textId="77777777" w:rsidR="00484D83" w:rsidRDefault="00484D83" w:rsidP="00484D83">
      <w:pPr>
        <w:rPr>
          <w:rFonts w:ascii="Arial" w:hAnsi="Arial" w:cs="Arial"/>
          <w:kern w:val="2"/>
          <w:szCs w:val="22"/>
        </w:rPr>
      </w:pPr>
    </w:p>
    <w:p w14:paraId="3836B7A8" w14:textId="77777777" w:rsidR="00484D83" w:rsidRDefault="00484D83" w:rsidP="00484D83">
      <w:pPr>
        <w:rPr>
          <w:rFonts w:ascii="Arial" w:hAnsi="Arial" w:cs="Arial"/>
          <w:kern w:val="2"/>
          <w:szCs w:val="22"/>
        </w:rPr>
      </w:pPr>
    </w:p>
    <w:p w14:paraId="56B9FA80" w14:textId="0A09E22E" w:rsidR="00484D83" w:rsidRPr="00484D83" w:rsidRDefault="00484D83" w:rsidP="00484D83">
      <w:pPr>
        <w:rPr>
          <w:rFonts w:ascii="Arial" w:hAnsi="Arial" w:cs="Arial"/>
          <w:kern w:val="2"/>
          <w:szCs w:val="22"/>
        </w:rPr>
      </w:pPr>
      <w:r w:rsidRPr="00484D83">
        <w:rPr>
          <w:rFonts w:ascii="Arial" w:hAnsi="Arial" w:cs="Arial"/>
          <w:kern w:val="2"/>
          <w:szCs w:val="22"/>
        </w:rPr>
        <w:t xml:space="preserve">The Public Health Workforce Capacity review is a useful reference: </w:t>
      </w:r>
      <w:hyperlink r:id="rId18" w:history="1">
        <w:r w:rsidRPr="00484D83">
          <w:rPr>
            <w:rFonts w:ascii="Arial" w:hAnsi="Arial" w:cs="Arial"/>
            <w:color w:val="467886"/>
            <w:kern w:val="2"/>
            <w:szCs w:val="22"/>
            <w:u w:val="single"/>
          </w:rPr>
          <w:t>https://eur03.safelinks.protection.outlook.com/?url=https%3A%2F%2Fwww.hee.nhs.uk%2Four-work%2Fpublic-health-specialist-capacity&amp;data=05%7C02%7Cfreedomofinformation%40wakefield.gov.uk%7C5f24062187ca4e9d6b3b08decbf6e707%7Cd76faab796b740c79b253d2fbd4ac1f1%7C0%7C0%7C639172458484515889%7CUnknown%7CTWFpbGZsb3d8eyJFbXB0eU1hcGkiOnRydWUsIlYiOiIwLjAuMDAwMCIsIlAiOiJXaW4zMiIsIkFOIjoiTWFpbCIsIldUIjoyfQ%3D%3D%7C0%7C%7C%7C&amp;sdata=HIMX83lOzXPJMYTa01K3x15d2shAWiuuIphz5xWXJpA%3D&amp;reserved=0</w:t>
        </w:r>
      </w:hyperlink>
    </w:p>
    <w:p w14:paraId="37CBF6D0" w14:textId="77777777" w:rsidR="00484D83" w:rsidRPr="00484D83" w:rsidRDefault="00484D83" w:rsidP="00484D83">
      <w:pPr>
        <w:rPr>
          <w:rFonts w:ascii="Arial" w:hAnsi="Arial" w:cs="Arial"/>
          <w:kern w:val="2"/>
          <w:szCs w:val="22"/>
        </w:rPr>
      </w:pPr>
    </w:p>
    <w:p w14:paraId="5C6AEF2C" w14:textId="24F5F05A" w:rsidR="00D14AB1" w:rsidRPr="00961CD5" w:rsidRDefault="00D14AB1" w:rsidP="00D14AB1">
      <w:pPr>
        <w:rPr>
          <w:rFonts w:ascii="Arial" w:hAnsi="Arial" w:cs="Arial"/>
          <w:color w:val="0B769F"/>
          <w:lang w:val="en-US"/>
        </w:rPr>
      </w:pPr>
    </w:p>
    <w:p w14:paraId="0D664ABF" w14:textId="77777777" w:rsidR="00D14AB1" w:rsidRPr="00D14AB1" w:rsidRDefault="00D14AB1" w:rsidP="00D14AB1">
      <w:pPr>
        <w:rPr>
          <w:rFonts w:ascii="Arial" w:hAnsi="Arial" w:cs="Arial"/>
          <w:lang w:val="en-US"/>
        </w:rPr>
      </w:pPr>
    </w:p>
    <w:p w14:paraId="284E3A1C"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5C180AE7" w14:textId="77777777" w:rsidR="007F7331" w:rsidRDefault="007F7331" w:rsidP="00D14AB1">
      <w:pPr>
        <w:rPr>
          <w:rFonts w:ascii="Arial" w:hAnsi="Arial" w:cs="Arial"/>
          <w:lang w:val="en-US"/>
        </w:rPr>
      </w:pPr>
    </w:p>
    <w:p w14:paraId="21672BBE"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9"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0E05DA1D" w14:textId="77777777" w:rsidR="0026495B" w:rsidRPr="0026495B" w:rsidRDefault="0026495B" w:rsidP="0026495B">
      <w:pPr>
        <w:rPr>
          <w:rFonts w:ascii="Arial" w:hAnsi="Arial" w:cs="Arial"/>
        </w:rPr>
      </w:pPr>
      <w:r w:rsidRPr="0026495B">
        <w:rPr>
          <w:rFonts w:ascii="Arial" w:hAnsi="Arial" w:cs="Arial"/>
        </w:rPr>
        <w:t> </w:t>
      </w:r>
    </w:p>
    <w:p w14:paraId="118D45F5"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73C17D0D" w14:textId="77777777" w:rsidR="0026495B" w:rsidRPr="0026495B" w:rsidRDefault="0026495B" w:rsidP="0026495B">
      <w:pPr>
        <w:rPr>
          <w:rFonts w:ascii="Arial" w:hAnsi="Arial" w:cs="Arial"/>
        </w:rPr>
      </w:pPr>
      <w:r w:rsidRPr="0026495B">
        <w:rPr>
          <w:rFonts w:ascii="Arial" w:hAnsi="Arial" w:cs="Arial"/>
        </w:rPr>
        <w:t>Wakefield One, Wakefield,  </w:t>
      </w:r>
    </w:p>
    <w:p w14:paraId="60E74CA3" w14:textId="77777777" w:rsidR="0026495B" w:rsidRPr="0026495B" w:rsidRDefault="0026495B" w:rsidP="0026495B">
      <w:pPr>
        <w:rPr>
          <w:rFonts w:ascii="Arial" w:hAnsi="Arial" w:cs="Arial"/>
        </w:rPr>
      </w:pPr>
      <w:r w:rsidRPr="0026495B">
        <w:rPr>
          <w:rFonts w:ascii="Arial" w:hAnsi="Arial" w:cs="Arial"/>
        </w:rPr>
        <w:t>West Yorkshire  </w:t>
      </w:r>
    </w:p>
    <w:p w14:paraId="2473FF3B" w14:textId="77777777" w:rsidR="0026495B" w:rsidRPr="0026495B" w:rsidRDefault="0026495B" w:rsidP="0026495B">
      <w:pPr>
        <w:rPr>
          <w:rFonts w:ascii="Arial" w:hAnsi="Arial" w:cs="Arial"/>
        </w:rPr>
      </w:pPr>
      <w:r w:rsidRPr="0026495B">
        <w:rPr>
          <w:rFonts w:ascii="Arial" w:hAnsi="Arial" w:cs="Arial"/>
        </w:rPr>
        <w:t>WF1 2EB </w:t>
      </w:r>
    </w:p>
    <w:p w14:paraId="11133122" w14:textId="77777777" w:rsidR="007F7331" w:rsidRPr="00D14AB1" w:rsidRDefault="007F7331" w:rsidP="00D14AB1">
      <w:pPr>
        <w:rPr>
          <w:rFonts w:ascii="Arial" w:hAnsi="Arial" w:cs="Arial"/>
          <w:lang w:val="en-US"/>
        </w:rPr>
      </w:pPr>
    </w:p>
    <w:p w14:paraId="2850AFC2" w14:textId="77777777" w:rsidR="008A2183" w:rsidRPr="008A2183" w:rsidRDefault="008A2183" w:rsidP="008A2183">
      <w:pPr>
        <w:rPr>
          <w:rFonts w:ascii="Arial" w:hAnsi="Arial" w:cs="Arial"/>
        </w:rPr>
      </w:pPr>
      <w:r w:rsidRPr="008A2183">
        <w:rPr>
          <w:rFonts w:ascii="Arial" w:hAnsi="Arial" w:cs="Arial"/>
        </w:rPr>
        <w:t>Yours faithfully, </w:t>
      </w:r>
    </w:p>
    <w:p w14:paraId="3A73671D" w14:textId="77777777" w:rsidR="00D14AB1" w:rsidRPr="00D14AB1" w:rsidRDefault="00D14AB1" w:rsidP="00D14AB1">
      <w:pPr>
        <w:rPr>
          <w:rFonts w:ascii="Arial" w:hAnsi="Arial" w:cs="Arial"/>
        </w:rPr>
      </w:pPr>
    </w:p>
    <w:p w14:paraId="7847A1DE" w14:textId="77777777" w:rsidR="00D14AB1" w:rsidRPr="00D14AB1" w:rsidRDefault="00D14AB1" w:rsidP="00D14AB1">
      <w:pPr>
        <w:rPr>
          <w:rFonts w:ascii="Arial" w:hAnsi="Arial" w:cs="Arial"/>
        </w:rPr>
      </w:pPr>
      <w:r w:rsidRPr="00D14AB1">
        <w:rPr>
          <w:rFonts w:ascii="Arial" w:hAnsi="Arial" w:cs="Arial"/>
        </w:rPr>
        <w:lastRenderedPageBreak/>
        <w:t>Senior Information Governance Officer</w:t>
      </w:r>
    </w:p>
    <w:p w14:paraId="6F19B5C9"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485FCED7" w14:textId="77777777" w:rsidR="00D14AB1" w:rsidRPr="00D14AB1" w:rsidRDefault="00D14AB1" w:rsidP="00D14AB1">
      <w:pPr>
        <w:rPr>
          <w:rFonts w:ascii="Arial" w:hAnsi="Arial" w:cs="Arial"/>
        </w:rPr>
      </w:pPr>
      <w:r w:rsidRPr="00D14AB1">
        <w:rPr>
          <w:rFonts w:ascii="Arial" w:hAnsi="Arial" w:cs="Arial"/>
        </w:rPr>
        <w:t>Legal and Governance</w:t>
      </w:r>
    </w:p>
    <w:p w14:paraId="1E8EDA76" w14:textId="77777777" w:rsidR="00D14AB1" w:rsidRPr="00D14AB1" w:rsidRDefault="00D14AB1" w:rsidP="00D14AB1">
      <w:pPr>
        <w:rPr>
          <w:rFonts w:ascii="Arial" w:hAnsi="Arial" w:cs="Arial"/>
        </w:rPr>
      </w:pPr>
      <w:r w:rsidRPr="00D14AB1">
        <w:rPr>
          <w:rFonts w:ascii="Arial" w:hAnsi="Arial" w:cs="Arial"/>
        </w:rPr>
        <w:t>Wakefield Council</w:t>
      </w:r>
    </w:p>
    <w:p w14:paraId="695F97DD" w14:textId="77777777" w:rsidR="00D14AB1" w:rsidRPr="00D14AB1" w:rsidRDefault="00D14AB1" w:rsidP="00D14AB1">
      <w:pPr>
        <w:rPr>
          <w:rFonts w:ascii="Arial" w:hAnsi="Arial" w:cs="Arial"/>
        </w:rPr>
      </w:pPr>
      <w:r w:rsidRPr="00D14AB1">
        <w:rPr>
          <w:rFonts w:ascii="Arial" w:hAnsi="Arial" w:cs="Arial"/>
        </w:rPr>
        <w:t>Tel: 01924 306112</w:t>
      </w:r>
    </w:p>
    <w:p w14:paraId="1351DF91" w14:textId="77777777" w:rsidR="00D14AB1" w:rsidRPr="00D14AB1" w:rsidRDefault="00D14AB1" w:rsidP="00D14AB1">
      <w:pPr>
        <w:rPr>
          <w:rFonts w:ascii="Arial" w:hAnsi="Arial" w:cs="Arial"/>
        </w:rPr>
      </w:pPr>
      <w:r w:rsidRPr="00D14AB1">
        <w:rPr>
          <w:rFonts w:ascii="Arial" w:hAnsi="Arial" w:cs="Arial"/>
        </w:rPr>
        <w:t xml:space="preserve">E-mail: </w:t>
      </w:r>
      <w:hyperlink r:id="rId20" w:history="1">
        <w:r w:rsidRPr="00D14AB1">
          <w:rPr>
            <w:rStyle w:val="Hyperlink"/>
            <w:rFonts w:ascii="Arial" w:hAnsi="Arial" w:cs="Arial"/>
          </w:rPr>
          <w:t>freedomofinformation@wakefield.gov.uk</w:t>
        </w:r>
      </w:hyperlink>
    </w:p>
    <w:p w14:paraId="46FA6ED4" w14:textId="77777777" w:rsidR="00EB10B0" w:rsidRDefault="00EB10B0" w:rsidP="00D14AB1">
      <w:pPr>
        <w:rPr>
          <w:rFonts w:ascii="Arial" w:hAnsi="Arial" w:cs="Arial"/>
        </w:rPr>
      </w:pPr>
    </w:p>
    <w:p w14:paraId="107A9ADA" w14:textId="77777777" w:rsidR="00EB10B0" w:rsidRPr="00D31651" w:rsidRDefault="00EB10B0" w:rsidP="00EB10B0">
      <w:pPr>
        <w:rPr>
          <w:rFonts w:ascii="Arial" w:hAnsi="Arial" w:cs="Arial"/>
        </w:rPr>
      </w:pPr>
    </w:p>
    <w:sectPr w:rsidR="00EB10B0" w:rsidRPr="00D31651" w:rsidSect="00FE2FFC">
      <w:headerReference w:type="even" r:id="rId21"/>
      <w:headerReference w:type="default" r:id="rId22"/>
      <w:footerReference w:type="even" r:id="rId23"/>
      <w:footerReference w:type="default" r:id="rId24"/>
      <w:headerReference w:type="first" r:id="rId25"/>
      <w:footerReference w:type="first" r:id="rId26"/>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4428" w14:textId="77777777" w:rsidR="00B9524E" w:rsidRDefault="00B9524E">
      <w:r>
        <w:separator/>
      </w:r>
    </w:p>
  </w:endnote>
  <w:endnote w:type="continuationSeparator" w:id="0">
    <w:p w14:paraId="4DA75C29" w14:textId="77777777" w:rsidR="00B9524E" w:rsidRDefault="00B9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BB73"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BA0D" w14:textId="77777777" w:rsidR="00DC5390" w:rsidRDefault="00DC5390">
    <w:pPr>
      <w:pStyle w:val="Footer"/>
      <w:ind w:hanging="851"/>
    </w:pPr>
    <w:r>
      <w:pict w14:anchorId="376C3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DF00" w14:textId="77777777" w:rsidR="00DC5390" w:rsidRDefault="00DC5390">
    <w:pPr>
      <w:pStyle w:val="Footer"/>
      <w:ind w:hanging="851"/>
    </w:pPr>
    <w:r>
      <w:pict w14:anchorId="3C45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4CB0" w14:textId="77777777" w:rsidR="00B9524E" w:rsidRDefault="00B9524E">
      <w:r>
        <w:separator/>
      </w:r>
    </w:p>
  </w:footnote>
  <w:footnote w:type="continuationSeparator" w:id="0">
    <w:p w14:paraId="1AD2D86C" w14:textId="77777777" w:rsidR="00B9524E" w:rsidRDefault="00B9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EA06"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57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D7CF" w14:textId="77777777" w:rsidR="00DC5390" w:rsidRDefault="00FE2FFC">
    <w:pPr>
      <w:pStyle w:val="Header"/>
      <w:ind w:hanging="851"/>
    </w:pPr>
    <w:r>
      <w:rPr>
        <w:noProof/>
      </w:rPr>
      <w:pict w14:anchorId="4CADA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B4A17A3" w14:textId="77777777" w:rsidR="00FB30EC" w:rsidRDefault="00FB30EC">
    <w:pPr>
      <w:pStyle w:val="Header"/>
      <w:ind w:hanging="851"/>
    </w:pPr>
  </w:p>
  <w:p w14:paraId="2479905F" w14:textId="77777777" w:rsidR="00FB30EC" w:rsidRDefault="00FB30EC">
    <w:pPr>
      <w:pStyle w:val="Header"/>
      <w:ind w:hanging="851"/>
    </w:pPr>
  </w:p>
  <w:p w14:paraId="66A46347" w14:textId="77777777" w:rsidR="00FB30EC" w:rsidRDefault="00FB30EC">
    <w:pPr>
      <w:pStyle w:val="Header"/>
      <w:ind w:hanging="851"/>
    </w:pPr>
  </w:p>
  <w:p w14:paraId="4B8181AB" w14:textId="77777777" w:rsidR="00FB30EC" w:rsidRDefault="00FB30EC">
    <w:pPr>
      <w:pStyle w:val="Header"/>
      <w:ind w:hanging="851"/>
    </w:pPr>
  </w:p>
  <w:p w14:paraId="42586605" w14:textId="77777777" w:rsidR="00FB30EC" w:rsidRDefault="00FB30EC">
    <w:pPr>
      <w:pStyle w:val="Header"/>
      <w:ind w:hanging="851"/>
    </w:pPr>
  </w:p>
  <w:p w14:paraId="544EB30B" w14:textId="77777777" w:rsidR="00FB30EC" w:rsidRDefault="00FB30EC">
    <w:pPr>
      <w:pStyle w:val="Header"/>
      <w:ind w:hanging="851"/>
    </w:pPr>
  </w:p>
  <w:p w14:paraId="6A37960B" w14:textId="77777777" w:rsidR="00FB30EC" w:rsidRDefault="00FB30EC">
    <w:pPr>
      <w:pStyle w:val="Header"/>
      <w:ind w:hanging="851"/>
    </w:pPr>
  </w:p>
  <w:p w14:paraId="71841728" w14:textId="77777777" w:rsidR="00FB30EC" w:rsidRDefault="00FB30EC">
    <w:pPr>
      <w:pStyle w:val="Header"/>
      <w:ind w:hanging="851"/>
    </w:pPr>
  </w:p>
  <w:p w14:paraId="737960B3" w14:textId="77777777" w:rsidR="00FB30EC" w:rsidRDefault="00FB30EC">
    <w:pPr>
      <w:pStyle w:val="Header"/>
      <w:ind w:hanging="851"/>
    </w:pPr>
  </w:p>
  <w:p w14:paraId="127FA6F2"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30789">
    <w:abstractNumId w:val="1"/>
  </w:num>
  <w:num w:numId="2" w16cid:durableId="218439128">
    <w:abstractNumId w:val="2"/>
  </w:num>
  <w:num w:numId="3" w16cid:durableId="805784645">
    <w:abstractNumId w:val="3"/>
  </w:num>
  <w:num w:numId="4" w16cid:durableId="894850162">
    <w:abstractNumId w:val="5"/>
  </w:num>
  <w:num w:numId="5" w16cid:durableId="1551529873">
    <w:abstractNumId w:val="0"/>
  </w:num>
  <w:num w:numId="6" w16cid:durableId="128414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84D83"/>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24E"/>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71884"/>
  <w15:chartTrackingRefBased/>
  <w15:docId w15:val="{353B1E5C-81BD-44C3-933A-44AC8D68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yperlink" Target="https://eur03.safelinks.protection.outlook.com/?url=https%3A%2F%2Fwww.hee.nhs.uk%2Four-work%2Fpublic-health-specialist-capacity&amp;data=05%7C02%7Cfreedomofinformation%40wakefield.gov.uk%7C5f24062187ca4e9d6b3b08decbf6e707%7Cd76faab796b740c79b253d2fbd4ac1f1%7C0%7C0%7C639172458484515889%7CUnknown%7CTWFpbGZsb3d8eyJFbXB0eU1hcGkiOnRydWUsIlYiOiIwLjAuMDAwMCIsIlAiOiJXaW4zMiIsIkFOIjoiTWFpbCIsIldUIjoyfQ%3D%3D%7C0%7C%7C%7C&amp;sdata=HIMX83lOzXPJMYTa01K3x15d2shAWiuuIphz5xWXJpA%3D&amp;reserved=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https://eur03.safelinks.protection.outlook.com/?url=https%3A%2F%2Fwww.wakefieldjsna.co.uk%2Four-district%2Fdemographics%2Fresident-population%2F&amp;data=05%7C02%7Cfreedomofinformation%40wakefield.gov.uk%7Ce8e3c50f794a4371550608ded8cecfd6%7Cd76faab796b740c79b253d2fbd4ac1f1%7C0%7C0%7C639186580021766717%7CUnknown%7CTWFpbGZsb3d8eyJFbXB0eU1hcGkiOnRydWUsIlYiOiIwLjAuMDAwMCIsIlAiOiJXaW4zMiIsIkFOIjoiTWFpbCIsIldUIjoyfQ%3D%3D%7C0%7C%7C%7C&amp;sdata=VBe%2FjoClCcOV6STiPWY50pDdTXBFXEruAF7SJ%2BsuBwY%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3.safelinks.protection.outlook.com/?url=https%3A%2F%2Fwww.gov.uk%2Fgovernment%2Fpublications%2Flocal-government-transparency-code-2015%2Flocal-government-transparency-code-2015&amp;data=05%7C02%7Cfreedomofinformation%40wakefield.gov.uk%7C5f24062187ca4e9d6b3b08decbf6e707%7Cd76faab796b740c79b253d2fbd4ac1f1%7C0%7C0%7C639172458484497226%7CUnknown%7CTWFpbGZsb3d8eyJFbXB0eU1hcGkiOnRydWUsIlYiOiIwLjAuMDAwMCIsIlAiOiJXaW4zMiIsIkFOIjoiTWFpbCIsIldUIjoyfQ%3D%3D%7C0%7C%7C%7C&amp;sdata=HUEcMWEeWSwEBR8%2B2cHrJ6Q0wLKrh0R7ZKaBypPpVko%3D&amp;reserved=0" TargetMode="External"/><Relationship Id="rId20" Type="http://schemas.openxmlformats.org/officeDocument/2006/relationships/hyperlink" Target="mailto:freedomofinformation@wakefiel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ur03.safelinks.protection.outlook.com/?url=https%3A%2F%2Fwww.local.gov.uk%2Fsites%2Fdefault%2Ffiles%2Fdocuments%2Fpublishing-organisation-i-faa.pdf&amp;data=05%7C02%7Cfreedomofinformation%40wakefield.gov.uk%7C5f24062187ca4e9d6b3b08decbf6e707%7Cd76faab796b740c79b253d2fbd4ac1f1%7C0%7C0%7C639172458484470492%7CUnknown%7CTWFpbGZsb3d8eyJFbXB0eU1hcGkiOnRydWUsIlYiOiIwLjAuMDAwMCIsIlAiOiJXaW4zMiIsIkFOIjoiTWFpbCIsIldUIjoyfQ%3D%3D%7C0%7C%7C%7C&amp;sdata=%2FXXgzFLLWWy08dhyEyytpy0pVSXKo4gKCsQHFkbL5AU%3D&amp;reserved=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reedomofinformation@wakefiel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s%3A%2F%2Fsearch.ukphr.org%2F&amp;data=05%7C02%7Cfreedomofinformation%40wakefield.gov.uk%7Ce8e3c50f794a4371550608ded8cecfd6%7Cd76faab796b740c79b253d2fbd4ac1f1%7C0%7C0%7C639186580021710563%7CUnknown%7CTWFpbGZsb3d8eyJFbXB0eU1hcGkiOnRydWUsIlYiOiIwLjAuMDAwMCIsIlAiOiJXaW4zMiIsIkFOIjoiTWFpbCIsIldUIjoyfQ%3D%3D%7C0%7C%7C%7C&amp;sdata=t4aIsxgbfwi8uvZcgGltigOf2GfgSWyAa6KWrj0EiFI%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C3F2ED65-8CBE-4898-BDFD-46126A7C1163}">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9640</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2026-07-07T15:07:00Z</dcterms:created>
  <dcterms:modified xsi:type="dcterms:W3CDTF">2026-07-07T15:07:00Z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