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550080BB" w:rsidR="00FB30EC" w:rsidRPr="00977E68" w:rsidRDefault="00FB30EC" w:rsidP="00FB30EC">
            <w:pPr>
              <w:pStyle w:val="Header"/>
              <w:tabs>
                <w:tab w:val="left" w:pos="720"/>
              </w:tabs>
              <w:rPr>
                <w:rFonts w:ascii="Arial" w:hAnsi="Arial" w:cs="Arial"/>
              </w:rPr>
            </w:pPr>
            <w:r w:rsidRPr="00977E68">
              <w:rPr>
                <w:rFonts w:ascii="Arial" w:hAnsi="Arial" w:cs="Arial"/>
              </w:rPr>
              <w:t xml:space="preserve">Date: </w:t>
            </w:r>
            <w:r w:rsidR="00977E68" w:rsidRPr="00977E68">
              <w:rPr>
                <w:rFonts w:ascii="Arial" w:hAnsi="Arial" w:cs="Arial"/>
              </w:rPr>
              <w:t>09 July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1C8B8AB3" w14:textId="3EDDB93C" w:rsidR="00D14AB1" w:rsidRPr="00977E68" w:rsidRDefault="00FB182E" w:rsidP="00D14AB1">
      <w:pPr>
        <w:rPr>
          <w:rFonts w:ascii="Arial" w:hAnsi="Arial" w:cs="Arial"/>
          <w:b/>
          <w:bCs/>
          <w:color w:val="000000" w:themeColor="text1"/>
        </w:rPr>
      </w:pPr>
      <w:r w:rsidRPr="00977E68">
        <w:rPr>
          <w:rFonts w:ascii="Arial" w:hAnsi="Arial" w:cs="Arial"/>
          <w:b/>
          <w:bCs/>
          <w:color w:val="000000" w:themeColor="text1"/>
        </w:rPr>
        <w:t xml:space="preserve">REF: </w:t>
      </w:r>
      <w:r w:rsidR="00977E68" w:rsidRPr="00977E68">
        <w:rPr>
          <w:rFonts w:ascii="Arial" w:hAnsi="Arial" w:cs="Arial"/>
          <w:b/>
          <w:bCs/>
          <w:color w:val="000000" w:themeColor="text1"/>
        </w:rPr>
        <w:t>FOI 633</w:t>
      </w:r>
    </w:p>
    <w:p w14:paraId="4339AB71" w14:textId="77777777" w:rsidR="00977E68" w:rsidRPr="00D14AB1" w:rsidRDefault="00977E68"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Default="00D14AB1" w:rsidP="00D14AB1">
      <w:pPr>
        <w:rPr>
          <w:rFonts w:ascii="Arial" w:hAnsi="Arial" w:cs="Arial"/>
          <w:lang w:val="en-US"/>
        </w:rPr>
      </w:pPr>
    </w:p>
    <w:p w14:paraId="3EF35400" w14:textId="0B58915B" w:rsidR="00872345" w:rsidRDefault="001F4E10" w:rsidP="00872345">
      <w:pPr>
        <w:rPr>
          <w:rFonts w:ascii="Arial" w:hAnsi="Arial" w:cs="Arial"/>
          <w:color w:val="215E99" w:themeColor="text2" w:themeTint="BF"/>
        </w:rPr>
      </w:pPr>
      <w:r w:rsidRPr="00872345">
        <w:rPr>
          <w:rFonts w:ascii="Arial" w:hAnsi="Arial" w:cs="Arial"/>
          <w:i/>
          <w:iCs/>
        </w:rPr>
        <w:t>Please could you provide the following information:</w:t>
      </w:r>
      <w:r w:rsidRPr="00872345">
        <w:rPr>
          <w:rFonts w:ascii="Arial" w:hAnsi="Arial" w:cs="Arial"/>
          <w:i/>
          <w:iCs/>
        </w:rPr>
        <w:br/>
        <w:t>1. Does your local authority currently provide substance misuse and/or addiction recovery services — whether delivered in-house, commissioned from external providers, or a combination of both? If commissioned externally, please identify the provider(s) and the contract</w:t>
      </w:r>
      <w:r w:rsidRPr="00872345">
        <w:rPr>
          <w:rFonts w:ascii="Arial" w:hAnsi="Arial" w:cs="Arial"/>
          <w:i/>
          <w:iCs/>
        </w:rPr>
        <w:t xml:space="preserve"> </w:t>
      </w:r>
      <w:r w:rsidRPr="00872345">
        <w:rPr>
          <w:rFonts w:ascii="Arial" w:hAnsi="Arial" w:cs="Arial"/>
          <w:i/>
          <w:iCs/>
        </w:rPr>
        <w:t>reference(s) where possible.  </w:t>
      </w:r>
      <w:r w:rsidRPr="00872345">
        <w:rPr>
          <w:rFonts w:ascii="Arial" w:hAnsi="Arial" w:cs="Arial"/>
          <w:i/>
          <w:iCs/>
        </w:rPr>
        <w:br/>
      </w:r>
      <w:r w:rsidRPr="001F4E10">
        <w:rPr>
          <w:rFonts w:ascii="Arial" w:hAnsi="Arial" w:cs="Arial"/>
        </w:rPr>
        <w:br/>
      </w:r>
      <w:r w:rsidRPr="001F4E10">
        <w:rPr>
          <w:rFonts w:ascii="Arial" w:hAnsi="Arial" w:cs="Arial"/>
          <w:color w:val="215E99" w:themeColor="text2" w:themeTint="BF"/>
        </w:rPr>
        <w:t>It is commissioned from an external provider, Turning Point</w:t>
      </w:r>
      <w:r w:rsidRPr="001F4E10">
        <w:rPr>
          <w:rFonts w:ascii="Arial" w:hAnsi="Arial" w:cs="Arial"/>
          <w:color w:val="215E99" w:themeColor="text2" w:themeTint="BF"/>
        </w:rPr>
        <w:br/>
      </w:r>
      <w:r w:rsidRPr="001F4E10">
        <w:rPr>
          <w:rFonts w:ascii="Arial" w:hAnsi="Arial" w:cs="Arial"/>
        </w:rPr>
        <w:br/>
      </w:r>
      <w:r w:rsidRPr="00872345">
        <w:rPr>
          <w:rFonts w:ascii="Arial" w:hAnsi="Arial" w:cs="Arial"/>
          <w:i/>
          <w:iCs/>
        </w:rPr>
        <w:t>2. Whether services are delivered in-house or by an external provider, does the applicable drug and alcohol testing policy for staff working</w:t>
      </w:r>
      <w:r w:rsidRPr="00872345">
        <w:rPr>
          <w:rFonts w:ascii="Arial" w:hAnsi="Arial" w:cs="Arial"/>
          <w:i/>
          <w:iCs/>
        </w:rPr>
        <w:t xml:space="preserve"> </w:t>
      </w:r>
      <w:r w:rsidRPr="00872345">
        <w:rPr>
          <w:rFonts w:ascii="Arial" w:hAnsi="Arial" w:cs="Arial"/>
          <w:i/>
          <w:iCs/>
        </w:rPr>
        <w:t>in those services include the following safeguards:  </w:t>
      </w:r>
      <w:r w:rsidRPr="00872345">
        <w:rPr>
          <w:rFonts w:ascii="Arial" w:hAnsi="Arial" w:cs="Arial"/>
          <w:i/>
          <w:iCs/>
        </w:rPr>
        <w:br/>
      </w:r>
      <w:r w:rsidRPr="00872345">
        <w:rPr>
          <w:rFonts w:ascii="Arial" w:hAnsi="Arial" w:cs="Arial"/>
          <w:i/>
          <w:iCs/>
        </w:rPr>
        <w:br/>
        <w:t>(a) Engagement of an independent Medical Review Officer (MRO) or equivalent qualified professional to review positive drug test results before any disciplinary action is taken;</w:t>
      </w:r>
      <w:r w:rsidRPr="00872345">
        <w:rPr>
          <w:rFonts w:ascii="Arial" w:hAnsi="Arial" w:cs="Arial"/>
          <w:i/>
          <w:iCs/>
        </w:rPr>
        <w:br/>
        <w:t>   (b) Obtaining an independent toxicological opinion when a positive result may be attributable to legal substances (such as over-the-counter CBD products, prescription medication, or dietary sources);</w:t>
      </w:r>
      <w:r w:rsidRPr="00872345">
        <w:rPr>
          <w:rFonts w:ascii="Arial" w:hAnsi="Arial" w:cs="Arial"/>
          <w:i/>
          <w:iCs/>
        </w:rPr>
        <w:br/>
        <w:t>   (c) Offering confirmatory re-testing or independent analysis following a disputed positive result;</w:t>
      </w:r>
      <w:r w:rsidRPr="00872345">
        <w:rPr>
          <w:rFonts w:ascii="Arial" w:hAnsi="Arial" w:cs="Arial"/>
          <w:i/>
          <w:iCs/>
        </w:rPr>
        <w:br/>
        <w:t>   (d) Referral to Occupational Health before disciplinary proceedings are initiated on the basis</w:t>
      </w:r>
      <w:r w:rsidRPr="001F4E10">
        <w:rPr>
          <w:rFonts w:ascii="Arial" w:hAnsi="Arial" w:cs="Arial"/>
        </w:rPr>
        <w:t xml:space="preserve"> </w:t>
      </w:r>
      <w:r w:rsidRPr="00872345">
        <w:rPr>
          <w:rFonts w:ascii="Arial" w:hAnsi="Arial" w:cs="Arial"/>
          <w:i/>
          <w:iCs/>
        </w:rPr>
        <w:lastRenderedPageBreak/>
        <w:t>of a drug test result;</w:t>
      </w:r>
      <w:r w:rsidRPr="00872345">
        <w:rPr>
          <w:rFonts w:ascii="Arial" w:hAnsi="Arial" w:cs="Arial"/>
          <w:i/>
          <w:iCs/>
        </w:rPr>
        <w:br/>
        <w:t>   (e) Maintenance of a written drug and alcohol testing policy that meets the standards recommended by the ACAS guidance on managing drug and alcohol misuse at work?</w:t>
      </w:r>
      <w:r w:rsidRPr="00872345">
        <w:rPr>
          <w:rFonts w:ascii="Arial" w:hAnsi="Arial" w:cs="Arial"/>
          <w:i/>
          <w:iCs/>
        </w:rPr>
        <w:br/>
        <w:t>   If commissioned externally, please confirm whether these safeguards are specified in the commissioning contract or service specification, and provide the relevant clauses where</w:t>
      </w:r>
      <w:r w:rsidRPr="001F4E10">
        <w:rPr>
          <w:rFonts w:ascii="Arial" w:hAnsi="Arial" w:cs="Arial"/>
        </w:rPr>
        <w:t xml:space="preserve"> </w:t>
      </w:r>
      <w:r w:rsidRPr="00872345">
        <w:rPr>
          <w:rFonts w:ascii="Arial" w:hAnsi="Arial" w:cs="Arial"/>
          <w:i/>
          <w:iCs/>
        </w:rPr>
        <w:t>possible</w:t>
      </w:r>
      <w:r w:rsidRPr="001F4E10">
        <w:rPr>
          <w:rFonts w:ascii="Arial" w:hAnsi="Arial" w:cs="Arial"/>
        </w:rPr>
        <w:t>.</w:t>
      </w:r>
      <w:r w:rsidR="00872345">
        <w:rPr>
          <w:rFonts w:ascii="Arial" w:hAnsi="Arial" w:cs="Arial"/>
        </w:rPr>
        <w:t xml:space="preserve">  </w:t>
      </w:r>
      <w:r w:rsidR="00872345" w:rsidRPr="00872345">
        <w:rPr>
          <w:rFonts w:ascii="Arial" w:hAnsi="Arial" w:cs="Arial"/>
          <w:color w:val="215E99" w:themeColor="text2" w:themeTint="BF"/>
        </w:rPr>
        <w:t>We do</w:t>
      </w:r>
      <w:r w:rsidR="00872345">
        <w:rPr>
          <w:rFonts w:ascii="Arial" w:hAnsi="Arial" w:cs="Arial"/>
          <w:color w:val="215E99" w:themeColor="text2" w:themeTint="BF"/>
        </w:rPr>
        <w:t xml:space="preserve"> </w:t>
      </w:r>
      <w:r w:rsidR="00872345" w:rsidRPr="00872345">
        <w:rPr>
          <w:rFonts w:ascii="Arial" w:hAnsi="Arial" w:cs="Arial"/>
          <w:color w:val="215E99" w:themeColor="text2" w:themeTint="BF"/>
        </w:rPr>
        <w:t>n</w:t>
      </w:r>
      <w:r w:rsidR="00872345">
        <w:rPr>
          <w:rFonts w:ascii="Arial" w:hAnsi="Arial" w:cs="Arial"/>
          <w:color w:val="215E99" w:themeColor="text2" w:themeTint="BF"/>
        </w:rPr>
        <w:t>ot</w:t>
      </w:r>
      <w:r w:rsidR="00872345" w:rsidRPr="00872345">
        <w:rPr>
          <w:rFonts w:ascii="Arial" w:hAnsi="Arial" w:cs="Arial"/>
          <w:color w:val="215E99" w:themeColor="text2" w:themeTint="BF"/>
        </w:rPr>
        <w:t xml:space="preserve"> drug or alcohol test staff in our services.  If concerns were raised, we would refer to the Health and Attendance policy and speak to HR and operational managers for further support. </w:t>
      </w:r>
    </w:p>
    <w:p w14:paraId="7D917551" w14:textId="77777777" w:rsidR="00872345" w:rsidRPr="00872345" w:rsidRDefault="00872345" w:rsidP="00872345">
      <w:pPr>
        <w:rPr>
          <w:rFonts w:ascii="Arial" w:hAnsi="Arial" w:cs="Arial"/>
          <w:color w:val="215E99" w:themeColor="text2" w:themeTint="BF"/>
        </w:rPr>
      </w:pPr>
    </w:p>
    <w:p w14:paraId="17EA4D6F" w14:textId="7233728F" w:rsidR="00872345" w:rsidRPr="00872345" w:rsidRDefault="00872345" w:rsidP="00872345">
      <w:pPr>
        <w:rPr>
          <w:rFonts w:ascii="Arial" w:hAnsi="Arial" w:cs="Arial"/>
          <w:color w:val="215E99" w:themeColor="text2" w:themeTint="BF"/>
        </w:rPr>
      </w:pPr>
      <w:r w:rsidRPr="00872345">
        <w:rPr>
          <w:rFonts w:ascii="Arial" w:hAnsi="Arial" w:cs="Arial"/>
          <w:color w:val="215E99" w:themeColor="text2" w:themeTint="BF"/>
        </w:rPr>
        <w:t>We do</w:t>
      </w:r>
      <w:r>
        <w:rPr>
          <w:rFonts w:ascii="Arial" w:hAnsi="Arial" w:cs="Arial"/>
          <w:color w:val="215E99" w:themeColor="text2" w:themeTint="BF"/>
        </w:rPr>
        <w:t xml:space="preserve"> </w:t>
      </w:r>
      <w:r w:rsidRPr="00872345">
        <w:rPr>
          <w:rFonts w:ascii="Arial" w:hAnsi="Arial" w:cs="Arial"/>
          <w:color w:val="215E99" w:themeColor="text2" w:themeTint="BF"/>
        </w:rPr>
        <w:t>n</w:t>
      </w:r>
      <w:r>
        <w:rPr>
          <w:rFonts w:ascii="Arial" w:hAnsi="Arial" w:cs="Arial"/>
          <w:color w:val="215E99" w:themeColor="text2" w:themeTint="BF"/>
        </w:rPr>
        <w:t>o</w:t>
      </w:r>
      <w:r w:rsidRPr="00872345">
        <w:rPr>
          <w:rFonts w:ascii="Arial" w:hAnsi="Arial" w:cs="Arial"/>
          <w:color w:val="215E99" w:themeColor="text2" w:themeTint="BF"/>
        </w:rPr>
        <w:t>t have a specific policy for drug and/or alcohol testing for staff and believe the policies and procedures in place are sufficient for us to address and support staff who may be experiencing substance use issues in a dignified way.</w:t>
      </w:r>
    </w:p>
    <w:p w14:paraId="037E23C7" w14:textId="12A94F1A" w:rsidR="001F4E10" w:rsidRPr="00D14AB1" w:rsidRDefault="001F4E10" w:rsidP="00D14AB1">
      <w:pPr>
        <w:rPr>
          <w:rFonts w:ascii="Arial" w:hAnsi="Arial" w:cs="Arial"/>
          <w:lang w:val="en-US"/>
        </w:rPr>
      </w:pPr>
      <w:r w:rsidRPr="00872345">
        <w:rPr>
          <w:rFonts w:ascii="Arial" w:hAnsi="Arial" w:cs="Arial"/>
          <w:color w:val="215E99" w:themeColor="text2" w:themeTint="BF"/>
        </w:rPr>
        <w:br/>
      </w:r>
      <w:r w:rsidRPr="001F4E10">
        <w:rPr>
          <w:rFonts w:ascii="Arial" w:hAnsi="Arial" w:cs="Arial"/>
        </w:rPr>
        <w:br/>
        <w:t xml:space="preserve">3. </w:t>
      </w:r>
      <w:r w:rsidRPr="00872345">
        <w:rPr>
          <w:rFonts w:ascii="Arial" w:hAnsi="Arial" w:cs="Arial"/>
          <w:i/>
          <w:iCs/>
        </w:rPr>
        <w:t>Has your authority received any complaints, concerns, or whistleblowing disclosures from service users, staff, or members of the public regarding the drug testing practices of substance misuse service providers (or in-house services) in the last five years? If so, how many and what was the general nature of those complaints?</w:t>
      </w:r>
      <w:r w:rsidRPr="001F4E10">
        <w:rPr>
          <w:rFonts w:ascii="Arial" w:hAnsi="Arial" w:cs="Arial"/>
        </w:rPr>
        <w:t xml:space="preserve"> </w:t>
      </w:r>
      <w:r w:rsidRPr="00A95E28">
        <w:rPr>
          <w:rFonts w:ascii="Arial" w:hAnsi="Arial" w:cs="Arial"/>
          <w:color w:val="215E99" w:themeColor="text2" w:themeTint="BF"/>
        </w:rPr>
        <w:t>None</w:t>
      </w:r>
      <w:r w:rsidRPr="001F4E10">
        <w:rPr>
          <w:rFonts w:ascii="Arial" w:hAnsi="Arial" w:cs="Arial"/>
        </w:rPr>
        <w:br/>
      </w:r>
      <w:r w:rsidRPr="001F4E10">
        <w:rPr>
          <w:rFonts w:ascii="Arial" w:hAnsi="Arial" w:cs="Arial"/>
        </w:rPr>
        <w:br/>
      </w:r>
      <w:r w:rsidRPr="00872345">
        <w:rPr>
          <w:rFonts w:ascii="Arial" w:hAnsi="Arial" w:cs="Arial"/>
          <w:i/>
          <w:iCs/>
        </w:rPr>
        <w:t>4. Does your authority's contract monitoring or quality assurance process include any review of drug testing procedures or outcomes — whether delivered in-house or by a commissioned provider?</w:t>
      </w:r>
      <w:r w:rsidRPr="001F4E10">
        <w:rPr>
          <w:rFonts w:ascii="Arial" w:hAnsi="Arial" w:cs="Arial"/>
        </w:rPr>
        <w:t xml:space="preserve"> </w:t>
      </w:r>
      <w:r w:rsidRPr="00A95E28">
        <w:rPr>
          <w:rFonts w:ascii="Arial" w:hAnsi="Arial" w:cs="Arial"/>
          <w:color w:val="215E99" w:themeColor="text2" w:themeTint="BF"/>
        </w:rPr>
        <w:t>No</w:t>
      </w:r>
      <w:r w:rsidRPr="00A95E28">
        <w:rPr>
          <w:rFonts w:ascii="Arial" w:hAnsi="Arial" w:cs="Arial"/>
          <w:color w:val="215E99" w:themeColor="text2" w:themeTint="BF"/>
        </w:rPr>
        <w:br/>
      </w: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Default="00D14AB1" w:rsidP="00D14AB1">
      <w:pPr>
        <w:rPr>
          <w:rFonts w:ascii="Arial" w:hAnsi="Arial" w:cs="Arial"/>
        </w:rPr>
      </w:pPr>
    </w:p>
    <w:p w14:paraId="5E03D8FD" w14:textId="77777777" w:rsidR="00872345" w:rsidRPr="00D14AB1" w:rsidRDefault="00872345"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31CF2" w14:textId="77777777" w:rsidR="00B668E9" w:rsidRDefault="00B668E9">
      <w:r>
        <w:separator/>
      </w:r>
    </w:p>
  </w:endnote>
  <w:endnote w:type="continuationSeparator" w:id="0">
    <w:p w14:paraId="340745E4" w14:textId="77777777" w:rsidR="00B668E9" w:rsidRDefault="00B66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B668E9">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B668E9">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54ECB" w14:textId="77777777" w:rsidR="00B668E9" w:rsidRDefault="00B668E9">
      <w:r>
        <w:separator/>
      </w:r>
    </w:p>
  </w:footnote>
  <w:footnote w:type="continuationSeparator" w:id="0">
    <w:p w14:paraId="6EC0A4AE" w14:textId="77777777" w:rsidR="00B668E9" w:rsidRDefault="00B66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B668E9">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1"/>
  </w:num>
  <w:num w:numId="2" w16cid:durableId="1453331103">
    <w:abstractNumId w:val="2"/>
  </w:num>
  <w:num w:numId="3" w16cid:durableId="232009271">
    <w:abstractNumId w:val="3"/>
  </w:num>
  <w:num w:numId="4" w16cid:durableId="851646817">
    <w:abstractNumId w:val="5"/>
  </w:num>
  <w:num w:numId="5" w16cid:durableId="1329208751">
    <w:abstractNumId w:val="0"/>
  </w:num>
  <w:num w:numId="6" w16cid:durableId="2003921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1F4E10"/>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2A"/>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E6ED1"/>
    <w:rsid w:val="007F4E77"/>
    <w:rsid w:val="007F6B6C"/>
    <w:rsid w:val="007F7331"/>
    <w:rsid w:val="0080189F"/>
    <w:rsid w:val="0083179A"/>
    <w:rsid w:val="00855D89"/>
    <w:rsid w:val="00872345"/>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77E68"/>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95E28"/>
    <w:rsid w:val="00AB5FD8"/>
    <w:rsid w:val="00AC2678"/>
    <w:rsid w:val="00AC3204"/>
    <w:rsid w:val="00AC6195"/>
    <w:rsid w:val="00AE0249"/>
    <w:rsid w:val="00AE45F9"/>
    <w:rsid w:val="00B01A4D"/>
    <w:rsid w:val="00B01F12"/>
    <w:rsid w:val="00B222D9"/>
    <w:rsid w:val="00B5633F"/>
    <w:rsid w:val="00B567D3"/>
    <w:rsid w:val="00B60B06"/>
    <w:rsid w:val="00B64A02"/>
    <w:rsid w:val="00B668E9"/>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4397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6</cp:revision>
  <dcterms:created xsi:type="dcterms:W3CDTF">2026-04-30T13:53:00Z</dcterms:created>
  <dcterms:modified xsi:type="dcterms:W3CDTF">2026-07-09T10:22:00Z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