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0CC5B2CD" w:rsidR="00FB30EC" w:rsidRPr="0087545E" w:rsidRDefault="00FB30EC" w:rsidP="00FB30EC">
            <w:pPr>
              <w:pStyle w:val="Header"/>
              <w:tabs>
                <w:tab w:val="left" w:pos="720"/>
              </w:tabs>
              <w:rPr>
                <w:rFonts w:ascii="Arial" w:hAnsi="Arial" w:cs="Arial"/>
              </w:rPr>
            </w:pPr>
            <w:r w:rsidRPr="0087545E">
              <w:rPr>
                <w:rFonts w:ascii="Arial" w:hAnsi="Arial" w:cs="Arial"/>
              </w:rPr>
              <w:t xml:space="preserve">Date: </w:t>
            </w:r>
            <w:r w:rsidR="0099103B">
              <w:rPr>
                <w:rFonts w:ascii="Arial" w:hAnsi="Arial" w:cs="Arial"/>
              </w:rPr>
              <w:t>9</w:t>
            </w:r>
            <w:r w:rsidR="0087545E" w:rsidRPr="0087545E">
              <w:rPr>
                <w:rFonts w:ascii="Arial" w:hAnsi="Arial" w:cs="Arial"/>
              </w:rPr>
              <w:t xml:space="preserve"> July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r w:rsidRPr="007F4E77">
        <w:rPr>
          <w:b w:val="0"/>
        </w:rPr>
        <w:t>Typetalk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74B7C47F" w:rsidR="00FB182E" w:rsidRPr="0087545E" w:rsidRDefault="00FB182E" w:rsidP="00FB182E">
      <w:pPr>
        <w:rPr>
          <w:rFonts w:ascii="Arial" w:hAnsi="Arial" w:cs="Arial"/>
          <w:b/>
          <w:bCs/>
        </w:rPr>
      </w:pPr>
      <w:r w:rsidRPr="0087545E">
        <w:rPr>
          <w:rFonts w:ascii="Arial" w:hAnsi="Arial" w:cs="Arial"/>
          <w:b/>
          <w:bCs/>
        </w:rPr>
        <w:t xml:space="preserve">REF: </w:t>
      </w:r>
      <w:r w:rsidR="00771AA0" w:rsidRPr="0087545E">
        <w:rPr>
          <w:rFonts w:ascii="Arial" w:hAnsi="Arial" w:cs="Arial"/>
          <w:b/>
          <w:bCs/>
        </w:rPr>
        <w:t>FOI 604</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6BC656C6" w14:textId="77777777" w:rsidR="00D14AB1" w:rsidRDefault="00D14AB1" w:rsidP="00CB458B">
      <w:pPr>
        <w:rPr>
          <w:rFonts w:ascii="Arial" w:hAnsi="Arial" w:cs="Arial"/>
          <w:lang w:val="en-US"/>
        </w:rPr>
      </w:pPr>
    </w:p>
    <w:p w14:paraId="381F3C42" w14:textId="77777777" w:rsidR="00CB458B" w:rsidRPr="0087545E" w:rsidRDefault="00CB458B" w:rsidP="00CB458B">
      <w:pPr>
        <w:ind w:left="360"/>
        <w:rPr>
          <w:rFonts w:ascii="Arial" w:hAnsi="Arial" w:cs="Arial"/>
          <w:i/>
          <w:iCs/>
        </w:rPr>
      </w:pPr>
      <w:r w:rsidRPr="0087545E">
        <w:rPr>
          <w:rFonts w:ascii="Arial" w:hAnsi="Arial" w:cs="Arial"/>
          <w:b/>
          <w:bCs/>
          <w:i/>
          <w:iCs/>
        </w:rPr>
        <w:t>Pupil-facing educational technology expenditure by the local authority </w:t>
      </w:r>
    </w:p>
    <w:p w14:paraId="321493AF" w14:textId="66ACA993" w:rsidR="00CB458B" w:rsidRPr="0087545E" w:rsidRDefault="00CB458B" w:rsidP="00CB458B">
      <w:pPr>
        <w:ind w:left="360"/>
        <w:rPr>
          <w:rFonts w:ascii="Arial" w:hAnsi="Arial" w:cs="Arial"/>
          <w:i/>
          <w:iCs/>
        </w:rPr>
      </w:pPr>
      <w:r w:rsidRPr="0087545E">
        <w:rPr>
          <w:rFonts w:ascii="Arial" w:hAnsi="Arial" w:cs="Arial"/>
          <w:i/>
          <w:iCs/>
        </w:rPr>
        <w:t xml:space="preserve">Please confirm the total amount spent by the local authority in each of your last three complete financial years on: </w:t>
      </w:r>
      <w:r w:rsidRPr="0087545E">
        <w:rPr>
          <w:rFonts w:ascii="Arial" w:hAnsi="Arial" w:cs="Arial"/>
          <w:i/>
          <w:iCs/>
        </w:rPr>
        <w:br/>
      </w:r>
      <w:r w:rsidRPr="0087545E">
        <w:rPr>
          <w:rFonts w:ascii="Arial" w:hAnsi="Arial" w:cs="Arial"/>
          <w:i/>
          <w:iCs/>
        </w:rPr>
        <w:br/>
      </w:r>
    </w:p>
    <w:p w14:paraId="5A7266DB" w14:textId="77777777" w:rsidR="00CB458B" w:rsidRPr="0087545E" w:rsidRDefault="00CB458B" w:rsidP="00CB458B">
      <w:pPr>
        <w:ind w:left="360"/>
        <w:rPr>
          <w:rFonts w:ascii="Arial" w:hAnsi="Arial" w:cs="Arial"/>
          <w:i/>
          <w:iCs/>
        </w:rPr>
      </w:pPr>
      <w:r w:rsidRPr="0087545E">
        <w:rPr>
          <w:rFonts w:ascii="Arial" w:hAnsi="Arial" w:cs="Arial"/>
          <w:i/>
          <w:iCs/>
        </w:rPr>
        <w:t>Pupil-facing 1:1 devices and hardware supplied to schools, for example iPads, Chromebooks, laptops and other related hardware for 1:1</w:t>
      </w:r>
    </w:p>
    <w:p w14:paraId="71E0C7EE" w14:textId="77777777" w:rsidR="00CB458B" w:rsidRPr="0087545E" w:rsidRDefault="00CB458B" w:rsidP="00CB458B">
      <w:pPr>
        <w:ind w:left="360"/>
        <w:rPr>
          <w:rFonts w:ascii="Arial" w:hAnsi="Arial" w:cs="Arial"/>
          <w:i/>
          <w:iCs/>
        </w:rPr>
      </w:pPr>
      <w:r w:rsidRPr="0087545E">
        <w:rPr>
          <w:rFonts w:ascii="Arial" w:hAnsi="Arial" w:cs="Arial"/>
          <w:i/>
          <w:iCs/>
        </w:rPr>
        <w:t xml:space="preserve"> use by pupils (“hardware expenditure”); and</w:t>
      </w:r>
    </w:p>
    <w:p w14:paraId="374F51EE" w14:textId="77777777" w:rsidR="00CB458B" w:rsidRPr="0087545E" w:rsidRDefault="00CB458B" w:rsidP="00CB458B">
      <w:pPr>
        <w:ind w:left="360"/>
        <w:rPr>
          <w:rFonts w:ascii="Arial" w:hAnsi="Arial" w:cs="Arial"/>
          <w:i/>
          <w:iCs/>
        </w:rPr>
      </w:pPr>
    </w:p>
    <w:p w14:paraId="7906EA8E" w14:textId="77777777" w:rsidR="00CB458B" w:rsidRPr="0087545E" w:rsidRDefault="00CB458B" w:rsidP="00CB458B">
      <w:pPr>
        <w:ind w:left="360"/>
        <w:rPr>
          <w:rFonts w:ascii="Arial" w:hAnsi="Arial" w:cs="Arial"/>
          <w:i/>
          <w:iCs/>
        </w:rPr>
      </w:pPr>
    </w:p>
    <w:p w14:paraId="19613449" w14:textId="77777777" w:rsidR="00CB458B" w:rsidRPr="0087545E" w:rsidRDefault="00CB458B" w:rsidP="00CB458B">
      <w:pPr>
        <w:ind w:left="360"/>
        <w:rPr>
          <w:rFonts w:ascii="Arial" w:hAnsi="Arial" w:cs="Arial"/>
          <w:i/>
          <w:iCs/>
        </w:rPr>
      </w:pPr>
      <w:r w:rsidRPr="0087545E">
        <w:rPr>
          <w:rFonts w:ascii="Arial" w:hAnsi="Arial" w:cs="Arial"/>
          <w:i/>
          <w:iCs/>
        </w:rPr>
        <w:t>Purchase costs, subscriptions or licences for digital learning applications or platforms for use by pupils (“software expenditure”). </w:t>
      </w:r>
    </w:p>
    <w:p w14:paraId="7576E7DA" w14:textId="77777777" w:rsidR="00CB458B" w:rsidRDefault="00CB458B" w:rsidP="00CB458B">
      <w:pPr>
        <w:rPr>
          <w:rFonts w:ascii="Arial" w:hAnsi="Arial" w:cs="Arial"/>
          <w:i/>
          <w:iCs/>
        </w:rPr>
      </w:pPr>
    </w:p>
    <w:p w14:paraId="2EC3E89A" w14:textId="77777777" w:rsidR="006A5ACC" w:rsidRDefault="006A5ACC" w:rsidP="00CB458B">
      <w:pPr>
        <w:rPr>
          <w:rFonts w:ascii="Arial" w:hAnsi="Arial" w:cs="Arial"/>
          <w:i/>
          <w:iCs/>
        </w:rPr>
      </w:pPr>
    </w:p>
    <w:p w14:paraId="3AEFFAB0" w14:textId="77777777" w:rsidR="006A5ACC" w:rsidRDefault="006A5ACC" w:rsidP="00CB458B">
      <w:pPr>
        <w:rPr>
          <w:rFonts w:ascii="Arial" w:hAnsi="Arial" w:cs="Arial"/>
          <w:i/>
          <w:iCs/>
        </w:rPr>
      </w:pPr>
    </w:p>
    <w:p w14:paraId="431A0040" w14:textId="77777777" w:rsidR="006A5ACC" w:rsidRDefault="006A5ACC" w:rsidP="00CB458B">
      <w:pPr>
        <w:rPr>
          <w:rFonts w:ascii="Arial" w:hAnsi="Arial" w:cs="Arial"/>
          <w:i/>
          <w:iCs/>
        </w:rPr>
      </w:pPr>
    </w:p>
    <w:p w14:paraId="26DD82BF" w14:textId="77777777" w:rsidR="006A5ACC" w:rsidRDefault="006A5ACC" w:rsidP="00CB458B">
      <w:pPr>
        <w:rPr>
          <w:rFonts w:ascii="Arial" w:hAnsi="Arial" w:cs="Arial"/>
          <w:i/>
          <w:iCs/>
        </w:rPr>
      </w:pPr>
    </w:p>
    <w:p w14:paraId="2A4F7D46" w14:textId="77777777" w:rsidR="006A5ACC" w:rsidRDefault="006A5ACC" w:rsidP="00CB458B">
      <w:pPr>
        <w:rPr>
          <w:rFonts w:ascii="Arial" w:hAnsi="Arial" w:cs="Arial"/>
          <w:i/>
          <w:iCs/>
        </w:rPr>
      </w:pPr>
    </w:p>
    <w:p w14:paraId="0FA1BD1E" w14:textId="77777777" w:rsidR="006A5ACC" w:rsidRDefault="006A5ACC" w:rsidP="00CB458B">
      <w:pPr>
        <w:rPr>
          <w:rFonts w:ascii="Arial" w:hAnsi="Arial" w:cs="Arial"/>
          <w:i/>
          <w:iCs/>
        </w:rPr>
      </w:pPr>
    </w:p>
    <w:tbl>
      <w:tblPr>
        <w:tblW w:w="9820" w:type="dxa"/>
        <w:tblInd w:w="108" w:type="dxa"/>
        <w:tblLook w:val="04A0" w:firstRow="1" w:lastRow="0" w:firstColumn="1" w:lastColumn="0" w:noHBand="0" w:noVBand="1"/>
      </w:tblPr>
      <w:tblGrid>
        <w:gridCol w:w="5800"/>
        <w:gridCol w:w="1120"/>
        <w:gridCol w:w="1620"/>
        <w:gridCol w:w="1280"/>
      </w:tblGrid>
      <w:tr w:rsidR="006A5ACC" w:rsidRPr="006A5ACC" w14:paraId="2BDBB571" w14:textId="77777777" w:rsidTr="006A5ACC">
        <w:trPr>
          <w:trHeight w:val="300"/>
        </w:trPr>
        <w:tc>
          <w:tcPr>
            <w:tcW w:w="5800" w:type="dxa"/>
            <w:tcBorders>
              <w:top w:val="nil"/>
              <w:left w:val="nil"/>
              <w:bottom w:val="nil"/>
              <w:right w:val="nil"/>
            </w:tcBorders>
            <w:noWrap/>
            <w:vAlign w:val="bottom"/>
            <w:hideMark/>
          </w:tcPr>
          <w:p w14:paraId="32BAAE1E" w14:textId="77777777" w:rsidR="006A5ACC" w:rsidRPr="006A5ACC" w:rsidRDefault="006A5ACC">
            <w:pPr>
              <w:rPr>
                <w:rFonts w:ascii="Arial" w:hAnsi="Arial" w:cs="Arial"/>
                <w:color w:val="215E99" w:themeColor="text2" w:themeTint="BF"/>
                <w:lang w:eastAsia="en-GB"/>
              </w:rPr>
            </w:pPr>
          </w:p>
        </w:tc>
        <w:tc>
          <w:tcPr>
            <w:tcW w:w="1120" w:type="dxa"/>
            <w:tcBorders>
              <w:top w:val="nil"/>
              <w:left w:val="nil"/>
              <w:bottom w:val="nil"/>
              <w:right w:val="nil"/>
            </w:tcBorders>
            <w:noWrap/>
            <w:vAlign w:val="bottom"/>
            <w:hideMark/>
          </w:tcPr>
          <w:p w14:paraId="3EB685E5" w14:textId="77777777" w:rsidR="006A5ACC" w:rsidRPr="006A5ACC" w:rsidRDefault="006A5ACC">
            <w:pPr>
              <w:jc w:val="center"/>
              <w:rPr>
                <w:rFonts w:ascii="Arial" w:hAnsi="Arial" w:cs="Arial"/>
                <w:color w:val="215E99" w:themeColor="text2" w:themeTint="BF"/>
              </w:rPr>
            </w:pPr>
            <w:r w:rsidRPr="006A5ACC">
              <w:rPr>
                <w:rFonts w:ascii="Arial" w:hAnsi="Arial" w:cs="Arial"/>
                <w:color w:val="215E99" w:themeColor="text2" w:themeTint="BF"/>
              </w:rPr>
              <w:t>2023/24</w:t>
            </w:r>
          </w:p>
        </w:tc>
        <w:tc>
          <w:tcPr>
            <w:tcW w:w="1620" w:type="dxa"/>
            <w:tcBorders>
              <w:top w:val="nil"/>
              <w:left w:val="nil"/>
              <w:bottom w:val="nil"/>
              <w:right w:val="nil"/>
            </w:tcBorders>
            <w:noWrap/>
            <w:vAlign w:val="bottom"/>
            <w:hideMark/>
          </w:tcPr>
          <w:p w14:paraId="7B3B8997" w14:textId="77777777" w:rsidR="006A5ACC" w:rsidRPr="006A5ACC" w:rsidRDefault="006A5ACC">
            <w:pPr>
              <w:jc w:val="center"/>
              <w:rPr>
                <w:rFonts w:ascii="Arial" w:hAnsi="Arial" w:cs="Arial"/>
                <w:color w:val="215E99" w:themeColor="text2" w:themeTint="BF"/>
              </w:rPr>
            </w:pPr>
            <w:r w:rsidRPr="006A5ACC">
              <w:rPr>
                <w:rFonts w:ascii="Arial" w:hAnsi="Arial" w:cs="Arial"/>
                <w:color w:val="215E99" w:themeColor="text2" w:themeTint="BF"/>
              </w:rPr>
              <w:t>2024/25</w:t>
            </w:r>
          </w:p>
        </w:tc>
        <w:tc>
          <w:tcPr>
            <w:tcW w:w="1280" w:type="dxa"/>
            <w:tcBorders>
              <w:top w:val="nil"/>
              <w:left w:val="nil"/>
              <w:bottom w:val="nil"/>
              <w:right w:val="nil"/>
            </w:tcBorders>
            <w:noWrap/>
            <w:vAlign w:val="bottom"/>
            <w:hideMark/>
          </w:tcPr>
          <w:p w14:paraId="361A592C" w14:textId="77777777" w:rsidR="006A5ACC" w:rsidRPr="006A5ACC" w:rsidRDefault="006A5ACC">
            <w:pPr>
              <w:jc w:val="center"/>
              <w:rPr>
                <w:rFonts w:ascii="Arial" w:hAnsi="Arial" w:cs="Arial"/>
                <w:color w:val="215E99" w:themeColor="text2" w:themeTint="BF"/>
              </w:rPr>
            </w:pPr>
            <w:r w:rsidRPr="006A5ACC">
              <w:rPr>
                <w:rFonts w:ascii="Arial" w:hAnsi="Arial" w:cs="Arial"/>
                <w:color w:val="215E99" w:themeColor="text2" w:themeTint="BF"/>
              </w:rPr>
              <w:t>2025/26</w:t>
            </w:r>
          </w:p>
        </w:tc>
      </w:tr>
      <w:tr w:rsidR="006A5ACC" w:rsidRPr="006A5ACC" w14:paraId="7793580C" w14:textId="77777777" w:rsidTr="006A5ACC">
        <w:trPr>
          <w:trHeight w:val="900"/>
        </w:trPr>
        <w:tc>
          <w:tcPr>
            <w:tcW w:w="5800" w:type="dxa"/>
            <w:tcBorders>
              <w:top w:val="nil"/>
              <w:left w:val="nil"/>
              <w:bottom w:val="nil"/>
              <w:right w:val="nil"/>
            </w:tcBorders>
            <w:vAlign w:val="bottom"/>
            <w:hideMark/>
          </w:tcPr>
          <w:p w14:paraId="26CC7C54" w14:textId="77777777" w:rsidR="006A5ACC" w:rsidRPr="006A5ACC" w:rsidRDefault="006A5ACC">
            <w:pPr>
              <w:rPr>
                <w:rFonts w:ascii="Arial" w:hAnsi="Arial" w:cs="Arial"/>
                <w:color w:val="215E99" w:themeColor="text2" w:themeTint="BF"/>
              </w:rPr>
            </w:pPr>
            <w:r w:rsidRPr="006A5ACC">
              <w:rPr>
                <w:rFonts w:ascii="Arial" w:hAnsi="Arial" w:cs="Arial"/>
                <w:color w:val="215E99" w:themeColor="text2" w:themeTint="BF"/>
              </w:rPr>
              <w:t>Pupil-facing 1:1 devices and hardware supplied to schools, for example iPads, Chromebooks, laptops and other related hardware for 1:1 use by pupils (“hardware expenditure”)</w:t>
            </w:r>
          </w:p>
        </w:tc>
        <w:tc>
          <w:tcPr>
            <w:tcW w:w="1120" w:type="dxa"/>
            <w:tcBorders>
              <w:top w:val="nil"/>
              <w:left w:val="nil"/>
              <w:bottom w:val="nil"/>
              <w:right w:val="nil"/>
            </w:tcBorders>
            <w:noWrap/>
            <w:vAlign w:val="bottom"/>
            <w:hideMark/>
          </w:tcPr>
          <w:p w14:paraId="0DCA78E9" w14:textId="77777777" w:rsidR="006A5ACC" w:rsidRPr="006A5ACC" w:rsidRDefault="006A5ACC">
            <w:pPr>
              <w:jc w:val="center"/>
              <w:rPr>
                <w:rFonts w:ascii="Arial" w:hAnsi="Arial" w:cs="Arial"/>
                <w:color w:val="215E99" w:themeColor="text2" w:themeTint="BF"/>
              </w:rPr>
            </w:pPr>
            <w:r w:rsidRPr="006A5ACC">
              <w:rPr>
                <w:rFonts w:ascii="Arial" w:hAnsi="Arial" w:cs="Arial"/>
                <w:color w:val="215E99" w:themeColor="text2" w:themeTint="BF"/>
              </w:rPr>
              <w:t xml:space="preserve"> -   </w:t>
            </w:r>
          </w:p>
        </w:tc>
        <w:tc>
          <w:tcPr>
            <w:tcW w:w="1620" w:type="dxa"/>
            <w:tcBorders>
              <w:top w:val="nil"/>
              <w:left w:val="nil"/>
              <w:bottom w:val="nil"/>
              <w:right w:val="nil"/>
            </w:tcBorders>
            <w:noWrap/>
            <w:vAlign w:val="bottom"/>
            <w:hideMark/>
          </w:tcPr>
          <w:p w14:paraId="2B8D46AE" w14:textId="77777777" w:rsidR="006A5ACC" w:rsidRPr="006A5ACC" w:rsidRDefault="006A5ACC">
            <w:pPr>
              <w:jc w:val="center"/>
              <w:rPr>
                <w:rFonts w:ascii="Arial" w:hAnsi="Arial" w:cs="Arial"/>
                <w:color w:val="215E99" w:themeColor="text2" w:themeTint="BF"/>
              </w:rPr>
            </w:pPr>
            <w:r w:rsidRPr="006A5ACC">
              <w:rPr>
                <w:rFonts w:ascii="Arial" w:hAnsi="Arial" w:cs="Arial"/>
                <w:color w:val="215E99" w:themeColor="text2" w:themeTint="BF"/>
              </w:rPr>
              <w:t xml:space="preserve"> -   </w:t>
            </w:r>
          </w:p>
        </w:tc>
        <w:tc>
          <w:tcPr>
            <w:tcW w:w="1280" w:type="dxa"/>
            <w:tcBorders>
              <w:top w:val="nil"/>
              <w:left w:val="nil"/>
              <w:bottom w:val="nil"/>
              <w:right w:val="nil"/>
            </w:tcBorders>
            <w:noWrap/>
            <w:vAlign w:val="bottom"/>
            <w:hideMark/>
          </w:tcPr>
          <w:p w14:paraId="65DD585A" w14:textId="77777777" w:rsidR="006A5ACC" w:rsidRPr="006A5ACC" w:rsidRDefault="006A5ACC">
            <w:pPr>
              <w:jc w:val="center"/>
              <w:rPr>
                <w:rFonts w:ascii="Arial" w:hAnsi="Arial" w:cs="Arial"/>
                <w:color w:val="215E99" w:themeColor="text2" w:themeTint="BF"/>
              </w:rPr>
            </w:pPr>
            <w:r w:rsidRPr="006A5ACC">
              <w:rPr>
                <w:rFonts w:ascii="Arial" w:hAnsi="Arial" w:cs="Arial"/>
                <w:color w:val="215E99" w:themeColor="text2" w:themeTint="BF"/>
              </w:rPr>
              <w:t>60,728</w:t>
            </w:r>
          </w:p>
        </w:tc>
      </w:tr>
      <w:tr w:rsidR="006A5ACC" w:rsidRPr="006A5ACC" w14:paraId="568DC728" w14:textId="77777777" w:rsidTr="006A5ACC">
        <w:trPr>
          <w:trHeight w:val="900"/>
        </w:trPr>
        <w:tc>
          <w:tcPr>
            <w:tcW w:w="5800" w:type="dxa"/>
            <w:tcBorders>
              <w:top w:val="nil"/>
              <w:left w:val="nil"/>
              <w:bottom w:val="nil"/>
              <w:right w:val="nil"/>
            </w:tcBorders>
            <w:vAlign w:val="bottom"/>
            <w:hideMark/>
          </w:tcPr>
          <w:p w14:paraId="6AA5BF04" w14:textId="77777777" w:rsidR="006A5ACC" w:rsidRPr="006A5ACC" w:rsidRDefault="006A5ACC">
            <w:pPr>
              <w:rPr>
                <w:rFonts w:ascii="Arial" w:hAnsi="Arial" w:cs="Arial"/>
                <w:color w:val="215E99" w:themeColor="text2" w:themeTint="BF"/>
              </w:rPr>
            </w:pPr>
            <w:r w:rsidRPr="006A5ACC">
              <w:rPr>
                <w:rFonts w:ascii="Arial" w:hAnsi="Arial" w:cs="Arial"/>
                <w:color w:val="215E99" w:themeColor="text2" w:themeTint="BF"/>
              </w:rPr>
              <w:t>Purchase costs, subscriptions or licences for digital learning applications or platforms for use by pupils (“software expenditure”)</w:t>
            </w:r>
          </w:p>
        </w:tc>
        <w:tc>
          <w:tcPr>
            <w:tcW w:w="1120" w:type="dxa"/>
            <w:tcBorders>
              <w:top w:val="nil"/>
              <w:left w:val="nil"/>
              <w:bottom w:val="nil"/>
              <w:right w:val="nil"/>
            </w:tcBorders>
            <w:noWrap/>
            <w:vAlign w:val="bottom"/>
            <w:hideMark/>
          </w:tcPr>
          <w:p w14:paraId="739DE3A0" w14:textId="77777777" w:rsidR="006A5ACC" w:rsidRPr="006A5ACC" w:rsidRDefault="006A5ACC">
            <w:pPr>
              <w:jc w:val="center"/>
              <w:rPr>
                <w:rFonts w:ascii="Arial" w:hAnsi="Arial" w:cs="Arial"/>
                <w:color w:val="215E99" w:themeColor="text2" w:themeTint="BF"/>
              </w:rPr>
            </w:pPr>
            <w:r w:rsidRPr="006A5ACC">
              <w:rPr>
                <w:rFonts w:ascii="Arial" w:hAnsi="Arial" w:cs="Arial"/>
                <w:color w:val="215E99" w:themeColor="text2" w:themeTint="BF"/>
              </w:rPr>
              <w:t>14,967</w:t>
            </w:r>
          </w:p>
        </w:tc>
        <w:tc>
          <w:tcPr>
            <w:tcW w:w="1620" w:type="dxa"/>
            <w:tcBorders>
              <w:top w:val="nil"/>
              <w:left w:val="nil"/>
              <w:bottom w:val="nil"/>
              <w:right w:val="nil"/>
            </w:tcBorders>
            <w:noWrap/>
            <w:vAlign w:val="bottom"/>
            <w:hideMark/>
          </w:tcPr>
          <w:p w14:paraId="0B3275E7" w14:textId="77777777" w:rsidR="006A5ACC" w:rsidRPr="006A5ACC" w:rsidRDefault="006A5ACC">
            <w:pPr>
              <w:jc w:val="center"/>
              <w:rPr>
                <w:rFonts w:ascii="Arial" w:hAnsi="Arial" w:cs="Arial"/>
                <w:color w:val="215E99" w:themeColor="text2" w:themeTint="BF"/>
              </w:rPr>
            </w:pPr>
            <w:r w:rsidRPr="006A5ACC">
              <w:rPr>
                <w:rFonts w:ascii="Arial" w:hAnsi="Arial" w:cs="Arial"/>
                <w:color w:val="215E99" w:themeColor="text2" w:themeTint="BF"/>
              </w:rPr>
              <w:t>13,813</w:t>
            </w:r>
          </w:p>
        </w:tc>
        <w:tc>
          <w:tcPr>
            <w:tcW w:w="1280" w:type="dxa"/>
            <w:tcBorders>
              <w:top w:val="nil"/>
              <w:left w:val="nil"/>
              <w:bottom w:val="nil"/>
              <w:right w:val="nil"/>
            </w:tcBorders>
            <w:noWrap/>
            <w:vAlign w:val="bottom"/>
            <w:hideMark/>
          </w:tcPr>
          <w:p w14:paraId="29E1CD4D" w14:textId="77777777" w:rsidR="006A5ACC" w:rsidRPr="006A5ACC" w:rsidRDefault="006A5ACC">
            <w:pPr>
              <w:jc w:val="center"/>
              <w:rPr>
                <w:rFonts w:ascii="Arial" w:hAnsi="Arial" w:cs="Arial"/>
                <w:color w:val="215E99" w:themeColor="text2" w:themeTint="BF"/>
              </w:rPr>
            </w:pPr>
            <w:r w:rsidRPr="006A5ACC">
              <w:rPr>
                <w:rFonts w:ascii="Arial" w:hAnsi="Arial" w:cs="Arial"/>
                <w:color w:val="215E99" w:themeColor="text2" w:themeTint="BF"/>
              </w:rPr>
              <w:t>14,960</w:t>
            </w:r>
          </w:p>
        </w:tc>
      </w:tr>
    </w:tbl>
    <w:p w14:paraId="5458EBE9" w14:textId="77777777" w:rsidR="00B4597A" w:rsidRPr="0087545E" w:rsidRDefault="00B4597A" w:rsidP="00CB458B">
      <w:pPr>
        <w:rPr>
          <w:rFonts w:ascii="Arial" w:hAnsi="Arial" w:cs="Arial"/>
          <w:i/>
          <w:iCs/>
        </w:rPr>
      </w:pPr>
    </w:p>
    <w:p w14:paraId="6DA99259" w14:textId="77777777" w:rsidR="00CB458B" w:rsidRPr="0087545E" w:rsidRDefault="00CB458B" w:rsidP="00CB458B">
      <w:pPr>
        <w:rPr>
          <w:rFonts w:ascii="Arial" w:hAnsi="Arial" w:cs="Arial"/>
          <w:i/>
          <w:iCs/>
        </w:rPr>
      </w:pPr>
      <w:r w:rsidRPr="0087545E">
        <w:rPr>
          <w:rFonts w:ascii="Arial" w:hAnsi="Arial" w:cs="Arial"/>
          <w:i/>
          <w:iCs/>
        </w:rPr>
        <w:t>If you are unable to disaggregate hardware expenditure and/or software expenditure from the data that you hold, please provide such figures as you are able to provide for the nearest approximation to those categories and explain in your response to which categories of expenditure they relate.</w:t>
      </w:r>
    </w:p>
    <w:p w14:paraId="72E4479A" w14:textId="77777777" w:rsidR="00CB458B" w:rsidRPr="0087545E" w:rsidRDefault="00CB458B" w:rsidP="00CB458B">
      <w:pPr>
        <w:rPr>
          <w:rFonts w:ascii="Arial" w:hAnsi="Arial" w:cs="Arial"/>
          <w:i/>
          <w:iCs/>
        </w:rPr>
      </w:pPr>
    </w:p>
    <w:p w14:paraId="1D605FCA" w14:textId="77777777" w:rsidR="00CB458B" w:rsidRPr="0087545E" w:rsidRDefault="00CB458B" w:rsidP="00CB458B">
      <w:pPr>
        <w:rPr>
          <w:rFonts w:ascii="Arial" w:hAnsi="Arial" w:cs="Arial"/>
          <w:i/>
          <w:iCs/>
        </w:rPr>
      </w:pPr>
      <w:r w:rsidRPr="0087545E">
        <w:rPr>
          <w:rFonts w:ascii="Arial" w:hAnsi="Arial" w:cs="Arial"/>
          <w:i/>
          <w:iCs/>
        </w:rPr>
        <w:t>Please also provide the equivalent expenditure figures for the following areas over the same three years:</w:t>
      </w:r>
    </w:p>
    <w:p w14:paraId="15477AD0" w14:textId="77777777" w:rsidR="00CB458B" w:rsidRPr="0087545E" w:rsidRDefault="00CB458B" w:rsidP="00CB458B">
      <w:pPr>
        <w:rPr>
          <w:rFonts w:ascii="Arial" w:hAnsi="Arial" w:cs="Arial"/>
          <w:i/>
          <w:iCs/>
        </w:rPr>
      </w:pPr>
      <w:r w:rsidRPr="0087545E">
        <w:rPr>
          <w:rFonts w:ascii="Arial" w:hAnsi="Arial" w:cs="Arial"/>
          <w:i/>
          <w:iCs/>
        </w:rPr>
        <w:t> </w:t>
      </w:r>
    </w:p>
    <w:p w14:paraId="723F3A67" w14:textId="70BBF54C" w:rsidR="00CB458B" w:rsidRDefault="00CB458B" w:rsidP="00096C71">
      <w:pPr>
        <w:numPr>
          <w:ilvl w:val="0"/>
          <w:numId w:val="14"/>
        </w:numPr>
        <w:ind w:left="360"/>
        <w:rPr>
          <w:rFonts w:ascii="Arial" w:hAnsi="Arial" w:cs="Arial"/>
          <w:color w:val="215E99"/>
        </w:rPr>
      </w:pPr>
      <w:r w:rsidRPr="0087545E">
        <w:rPr>
          <w:rFonts w:ascii="Arial" w:hAnsi="Arial" w:cs="Arial"/>
          <w:i/>
          <w:iCs/>
        </w:rPr>
        <w:t>Sports equipment for pupil use</w:t>
      </w:r>
      <w:r w:rsidR="00340B52">
        <w:rPr>
          <w:rFonts w:ascii="Arial" w:hAnsi="Arial" w:cs="Arial"/>
          <w:i/>
          <w:iCs/>
        </w:rPr>
        <w:t xml:space="preserve"> </w:t>
      </w:r>
      <w:r w:rsidR="00CC566C">
        <w:rPr>
          <w:rFonts w:ascii="Arial" w:hAnsi="Arial" w:cs="Arial"/>
          <w:color w:val="215E99"/>
        </w:rPr>
        <w:t>Th</w:t>
      </w:r>
      <w:r w:rsidR="00CC566C" w:rsidRPr="00CC566C">
        <w:rPr>
          <w:rFonts w:ascii="Arial" w:hAnsi="Arial" w:cs="Arial"/>
          <w:color w:val="215E99"/>
        </w:rPr>
        <w:t>is would be paid for by schools using their devolved budgets</w:t>
      </w:r>
    </w:p>
    <w:p w14:paraId="1815EBB9" w14:textId="77777777" w:rsidR="00D86A3F" w:rsidRPr="0087545E" w:rsidRDefault="00D86A3F" w:rsidP="00096C71">
      <w:pPr>
        <w:rPr>
          <w:rFonts w:ascii="Arial" w:hAnsi="Arial" w:cs="Arial"/>
          <w:i/>
          <w:iCs/>
        </w:rPr>
      </w:pPr>
    </w:p>
    <w:p w14:paraId="43DFD869" w14:textId="2E421FAA" w:rsidR="00D86A3F" w:rsidRPr="00D86A3F" w:rsidRDefault="00CB458B" w:rsidP="00096C71">
      <w:pPr>
        <w:numPr>
          <w:ilvl w:val="0"/>
          <w:numId w:val="14"/>
        </w:numPr>
        <w:ind w:left="360"/>
        <w:rPr>
          <w:rFonts w:ascii="Arial" w:hAnsi="Arial" w:cs="Arial"/>
          <w:i/>
          <w:iCs/>
          <w:color w:val="215E99" w:themeColor="text2" w:themeTint="BF"/>
        </w:rPr>
      </w:pPr>
      <w:r w:rsidRPr="0087545E">
        <w:rPr>
          <w:rFonts w:ascii="Arial" w:hAnsi="Arial" w:cs="Arial"/>
          <w:i/>
          <w:iCs/>
        </w:rPr>
        <w:t>Musical instruments for pupil use</w:t>
      </w:r>
      <w:r w:rsidR="00340B52">
        <w:rPr>
          <w:rFonts w:ascii="Arial" w:hAnsi="Arial" w:cs="Arial"/>
          <w:i/>
          <w:iCs/>
        </w:rPr>
        <w:t xml:space="preserve"> – </w:t>
      </w:r>
      <w:r w:rsidR="00D86A3F" w:rsidRPr="00D86A3F">
        <w:rPr>
          <w:rFonts w:ascii="Arial" w:hAnsi="Arial" w:cs="Arial"/>
          <w:i/>
          <w:iCs/>
          <w:color w:val="215E99" w:themeColor="text2" w:themeTint="BF"/>
        </w:rPr>
        <w:t>Charanga Online Music Resources License =  £35,030</w:t>
      </w:r>
    </w:p>
    <w:p w14:paraId="7D7E1DCA" w14:textId="77777777" w:rsidR="00D86A3F" w:rsidRPr="00D86A3F" w:rsidRDefault="00D86A3F" w:rsidP="00D86A3F">
      <w:pPr>
        <w:ind w:left="360"/>
        <w:rPr>
          <w:rFonts w:ascii="Arial" w:hAnsi="Arial" w:cs="Arial"/>
          <w:i/>
          <w:iCs/>
          <w:color w:val="215E99" w:themeColor="text2" w:themeTint="BF"/>
        </w:rPr>
      </w:pPr>
      <w:r w:rsidRPr="00D86A3F">
        <w:rPr>
          <w:rFonts w:ascii="Arial" w:hAnsi="Arial" w:cs="Arial"/>
          <w:i/>
          <w:iCs/>
          <w:color w:val="215E99" w:themeColor="text2" w:themeTint="BF"/>
        </w:rPr>
        <w:t>Sing Up Online Resources License = £1,425</w:t>
      </w:r>
    </w:p>
    <w:p w14:paraId="6A49D2EE" w14:textId="77777777" w:rsidR="00D86A3F" w:rsidRPr="00D86A3F" w:rsidRDefault="00D86A3F" w:rsidP="00D86A3F">
      <w:pPr>
        <w:ind w:left="360"/>
        <w:rPr>
          <w:rFonts w:ascii="Arial" w:hAnsi="Arial" w:cs="Arial"/>
          <w:i/>
          <w:iCs/>
          <w:color w:val="215E99" w:themeColor="text2" w:themeTint="BF"/>
        </w:rPr>
      </w:pPr>
      <w:r w:rsidRPr="00D86A3F">
        <w:rPr>
          <w:rFonts w:ascii="Arial" w:hAnsi="Arial" w:cs="Arial"/>
          <w:i/>
          <w:iCs/>
          <w:color w:val="215E99" w:themeColor="text2" w:themeTint="BF"/>
        </w:rPr>
        <w:t>Instrument Purchase for student use = £95,345 (through the recent DFE Music Instrument Grant)</w:t>
      </w:r>
    </w:p>
    <w:p w14:paraId="7EB06E23" w14:textId="2D2DDABD" w:rsidR="00CB458B" w:rsidRPr="00D86A3F" w:rsidRDefault="00CB458B" w:rsidP="00CB458B">
      <w:pPr>
        <w:rPr>
          <w:rFonts w:ascii="Arial" w:hAnsi="Arial" w:cs="Arial"/>
          <w:i/>
          <w:iCs/>
          <w:color w:val="215E99" w:themeColor="text2" w:themeTint="BF"/>
        </w:rPr>
      </w:pPr>
    </w:p>
    <w:p w14:paraId="01AE9601" w14:textId="5412F9ED" w:rsidR="00D14AB1" w:rsidRDefault="00CB458B" w:rsidP="00D14AB1">
      <w:pPr>
        <w:rPr>
          <w:rFonts w:ascii="Arial" w:hAnsi="Arial" w:cs="Arial"/>
          <w:i/>
          <w:iCs/>
        </w:rPr>
      </w:pPr>
      <w:r w:rsidRPr="0087545E">
        <w:rPr>
          <w:rFonts w:ascii="Arial" w:hAnsi="Arial" w:cs="Arial"/>
          <w:i/>
          <w:iCs/>
        </w:rPr>
        <w:t>• Books for pupil use </w:t>
      </w:r>
      <w:r w:rsidR="00340B52">
        <w:rPr>
          <w:rFonts w:ascii="Arial" w:hAnsi="Arial" w:cs="Arial"/>
          <w:i/>
          <w:iCs/>
        </w:rPr>
        <w:t xml:space="preserve">– </w:t>
      </w:r>
      <w:r w:rsidR="00CC566C">
        <w:rPr>
          <w:rFonts w:ascii="Arial" w:hAnsi="Arial" w:cs="Arial"/>
          <w:color w:val="215E99"/>
        </w:rPr>
        <w:t>T</w:t>
      </w:r>
      <w:r w:rsidR="00CC566C" w:rsidRPr="00CC566C">
        <w:rPr>
          <w:rFonts w:ascii="Arial" w:hAnsi="Arial" w:cs="Arial"/>
          <w:color w:val="215E99"/>
        </w:rPr>
        <w:t>his would be paid for by schools using their devolved budgets</w:t>
      </w:r>
    </w:p>
    <w:p w14:paraId="4680A877" w14:textId="77777777" w:rsidR="00340B52" w:rsidRDefault="00340B52" w:rsidP="00D14AB1">
      <w:pPr>
        <w:rPr>
          <w:rFonts w:ascii="Arial" w:hAnsi="Arial" w:cs="Arial"/>
          <w:lang w:val="en-US"/>
        </w:rPr>
      </w:pPr>
    </w:p>
    <w:p w14:paraId="4AF27FBD" w14:textId="77777777" w:rsidR="008D4DB6" w:rsidRDefault="008D4DB6" w:rsidP="00D14AB1">
      <w:pPr>
        <w:rPr>
          <w:rFonts w:ascii="Arial" w:hAnsi="Arial" w:cs="Arial"/>
          <w:lang w:val="en-US"/>
        </w:rPr>
      </w:pPr>
    </w:p>
    <w:p w14:paraId="3583C1A8" w14:textId="2384ADBD" w:rsidR="008D4DB6" w:rsidRDefault="008D4DB6" w:rsidP="00D14AB1">
      <w:pPr>
        <w:rPr>
          <w:rFonts w:ascii="Arial" w:hAnsi="Arial" w:cs="Arial"/>
          <w:color w:val="215E99"/>
        </w:rPr>
      </w:pPr>
      <w:r>
        <w:rPr>
          <w:rFonts w:ascii="Arial" w:hAnsi="Arial" w:cs="Arial"/>
          <w:color w:val="215E99"/>
        </w:rPr>
        <w:t>Please be aware schools budgets are devolved and are not classed as local authority expenditure</w:t>
      </w:r>
    </w:p>
    <w:p w14:paraId="02AD3826" w14:textId="77777777" w:rsidR="008D4DB6" w:rsidRPr="00D14AB1" w:rsidRDefault="008D4DB6"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lastRenderedPageBreak/>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088A" w14:textId="77777777" w:rsidR="007B2F8D" w:rsidRDefault="007B2F8D">
      <w:r>
        <w:separator/>
      </w:r>
    </w:p>
  </w:endnote>
  <w:endnote w:type="continuationSeparator" w:id="0">
    <w:p w14:paraId="23DEB8AE" w14:textId="77777777" w:rsidR="007B2F8D" w:rsidRDefault="007B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7B2F8D">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7B2F8D">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5433" w14:textId="77777777" w:rsidR="007B2F8D" w:rsidRDefault="007B2F8D">
      <w:r>
        <w:separator/>
      </w:r>
    </w:p>
  </w:footnote>
  <w:footnote w:type="continuationSeparator" w:id="0">
    <w:p w14:paraId="264C6E18" w14:textId="77777777" w:rsidR="007B2F8D" w:rsidRDefault="007B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7B2F8D">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105"/>
    <w:multiLevelType w:val="multilevel"/>
    <w:tmpl w:val="D9E6DC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474980"/>
    <w:multiLevelType w:val="hybridMultilevel"/>
    <w:tmpl w:val="0D9C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60CBA"/>
    <w:multiLevelType w:val="hybridMultilevel"/>
    <w:tmpl w:val="42B238C6"/>
    <w:lvl w:ilvl="0" w:tplc="726C161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C27815"/>
    <w:multiLevelType w:val="multilevel"/>
    <w:tmpl w:val="39EC7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E346D"/>
    <w:multiLevelType w:val="multilevel"/>
    <w:tmpl w:val="CF6E56C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2B159B"/>
    <w:multiLevelType w:val="hybridMultilevel"/>
    <w:tmpl w:val="381E3466"/>
    <w:lvl w:ilvl="0" w:tplc="CA489F1E">
      <w:numFmt w:val="bullet"/>
      <w:lvlText w:val="•"/>
      <w:lvlJc w:val="left"/>
      <w:pPr>
        <w:ind w:left="720" w:hanging="360"/>
      </w:pPr>
      <w:rPr>
        <w:rFonts w:ascii="Arial" w:eastAsia="Times New Roman" w:hAnsi="Arial" w:cs="Arial"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E084F99"/>
    <w:multiLevelType w:val="hybridMultilevel"/>
    <w:tmpl w:val="C8E0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7638B"/>
    <w:multiLevelType w:val="hybridMultilevel"/>
    <w:tmpl w:val="B232D52E"/>
    <w:lvl w:ilvl="0" w:tplc="CA489F1E">
      <w:numFmt w:val="bullet"/>
      <w:lvlText w:val="•"/>
      <w:lvlJc w:val="left"/>
      <w:pPr>
        <w:ind w:left="720" w:hanging="360"/>
      </w:pPr>
      <w:rPr>
        <w:rFonts w:ascii="Arial" w:eastAsia="Times New Roman" w:hAnsi="Arial" w:cs="Arial" w:hint="default"/>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7"/>
  </w:num>
  <w:num w:numId="2" w16cid:durableId="1453331103">
    <w:abstractNumId w:val="8"/>
  </w:num>
  <w:num w:numId="3" w16cid:durableId="232009271">
    <w:abstractNumId w:val="10"/>
  </w:num>
  <w:num w:numId="4" w16cid:durableId="851646817">
    <w:abstractNumId w:val="13"/>
  </w:num>
  <w:num w:numId="5" w16cid:durableId="1329208751">
    <w:abstractNumId w:val="4"/>
  </w:num>
  <w:num w:numId="6" w16cid:durableId="2003921918">
    <w:abstractNumId w:val="11"/>
  </w:num>
  <w:num w:numId="7" w16cid:durableId="1678387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9769382">
    <w:abstractNumId w:val="5"/>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1111168262">
    <w:abstractNumId w:val="9"/>
  </w:num>
  <w:num w:numId="10" w16cid:durableId="113377454">
    <w:abstractNumId w:val="0"/>
  </w:num>
  <w:num w:numId="11" w16cid:durableId="859315985">
    <w:abstractNumId w:val="2"/>
  </w:num>
  <w:num w:numId="12" w16cid:durableId="51583908">
    <w:abstractNumId w:val="1"/>
  </w:num>
  <w:num w:numId="13" w16cid:durableId="1113590966">
    <w:abstractNumId w:val="12"/>
  </w:num>
  <w:num w:numId="14" w16cid:durableId="1550068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5E57"/>
    <w:rsid w:val="000878E2"/>
    <w:rsid w:val="00090453"/>
    <w:rsid w:val="000928E7"/>
    <w:rsid w:val="00096C71"/>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44265"/>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40B52"/>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19CE"/>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A5ACC"/>
    <w:rsid w:val="006B013D"/>
    <w:rsid w:val="006B6B77"/>
    <w:rsid w:val="006C74B3"/>
    <w:rsid w:val="006D4D0B"/>
    <w:rsid w:val="006D7931"/>
    <w:rsid w:val="006E1E30"/>
    <w:rsid w:val="006E4A35"/>
    <w:rsid w:val="006F337E"/>
    <w:rsid w:val="006F4CF4"/>
    <w:rsid w:val="007014FE"/>
    <w:rsid w:val="007102D2"/>
    <w:rsid w:val="0076199A"/>
    <w:rsid w:val="00767C48"/>
    <w:rsid w:val="00771AA0"/>
    <w:rsid w:val="00771BE5"/>
    <w:rsid w:val="00781629"/>
    <w:rsid w:val="00790AC8"/>
    <w:rsid w:val="00794735"/>
    <w:rsid w:val="007B2F8D"/>
    <w:rsid w:val="007C7795"/>
    <w:rsid w:val="007F4E77"/>
    <w:rsid w:val="007F6B6C"/>
    <w:rsid w:val="007F7331"/>
    <w:rsid w:val="0080189F"/>
    <w:rsid w:val="0083179A"/>
    <w:rsid w:val="00855D89"/>
    <w:rsid w:val="008730ED"/>
    <w:rsid w:val="0087545E"/>
    <w:rsid w:val="00877DE4"/>
    <w:rsid w:val="00881702"/>
    <w:rsid w:val="008878F4"/>
    <w:rsid w:val="00897B24"/>
    <w:rsid w:val="008A071D"/>
    <w:rsid w:val="008A2183"/>
    <w:rsid w:val="008A3F99"/>
    <w:rsid w:val="008B4509"/>
    <w:rsid w:val="008D1FA3"/>
    <w:rsid w:val="008D25C6"/>
    <w:rsid w:val="008D4DB6"/>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9103B"/>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C66E4"/>
    <w:rsid w:val="00AE0249"/>
    <w:rsid w:val="00AE45F9"/>
    <w:rsid w:val="00AF35B6"/>
    <w:rsid w:val="00B01A4D"/>
    <w:rsid w:val="00B01F12"/>
    <w:rsid w:val="00B222D9"/>
    <w:rsid w:val="00B33A02"/>
    <w:rsid w:val="00B4597A"/>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458B"/>
    <w:rsid w:val="00CB5B11"/>
    <w:rsid w:val="00CC566C"/>
    <w:rsid w:val="00CE0DA2"/>
    <w:rsid w:val="00CE50E3"/>
    <w:rsid w:val="00CE680F"/>
    <w:rsid w:val="00CE78DA"/>
    <w:rsid w:val="00D04B22"/>
    <w:rsid w:val="00D057C6"/>
    <w:rsid w:val="00D14AB1"/>
    <w:rsid w:val="00D24234"/>
    <w:rsid w:val="00D31651"/>
    <w:rsid w:val="00D34EC2"/>
    <w:rsid w:val="00D62511"/>
    <w:rsid w:val="00D6738C"/>
    <w:rsid w:val="00D77CDA"/>
    <w:rsid w:val="00D84BF8"/>
    <w:rsid w:val="00D86A3F"/>
    <w:rsid w:val="00D93CE9"/>
    <w:rsid w:val="00DA18D9"/>
    <w:rsid w:val="00DC2454"/>
    <w:rsid w:val="00DC3E38"/>
    <w:rsid w:val="00DC5390"/>
    <w:rsid w:val="00DC7091"/>
    <w:rsid w:val="00DC7FE4"/>
    <w:rsid w:val="00DD6967"/>
    <w:rsid w:val="00DE5151"/>
    <w:rsid w:val="00DF1787"/>
    <w:rsid w:val="00DF318D"/>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3651</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15</cp:revision>
  <dcterms:created xsi:type="dcterms:W3CDTF">2026-04-30T13:53:00Z</dcterms:created>
  <dcterms:modified xsi:type="dcterms:W3CDTF">2026-07-09T12:44:00Z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