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15B4F22D" w:rsidR="00FB30EC" w:rsidRPr="00851740" w:rsidRDefault="00FB30EC" w:rsidP="00FB30EC">
            <w:pPr>
              <w:pStyle w:val="Header"/>
              <w:tabs>
                <w:tab w:val="left" w:pos="720"/>
              </w:tabs>
              <w:rPr>
                <w:rFonts w:ascii="Arial" w:hAnsi="Arial" w:cs="Arial"/>
              </w:rPr>
            </w:pPr>
            <w:r w:rsidRPr="00851740">
              <w:rPr>
                <w:rFonts w:ascii="Arial" w:hAnsi="Arial" w:cs="Arial"/>
              </w:rPr>
              <w:t xml:space="preserve">Date: </w:t>
            </w:r>
            <w:r w:rsidR="00851740" w:rsidRPr="00851740">
              <w:rPr>
                <w:rFonts w:ascii="Arial" w:hAnsi="Arial" w:cs="Arial"/>
              </w:rPr>
              <w:t>27 May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649F0033" w:rsidR="00FB182E" w:rsidRPr="00851740" w:rsidRDefault="00FB182E" w:rsidP="00FB182E">
      <w:pPr>
        <w:rPr>
          <w:rFonts w:ascii="Arial" w:hAnsi="Arial" w:cs="Arial"/>
          <w:b/>
          <w:bCs/>
        </w:rPr>
      </w:pPr>
      <w:r w:rsidRPr="00FB182E">
        <w:rPr>
          <w:rFonts w:ascii="Arial" w:hAnsi="Arial" w:cs="Arial"/>
          <w:b/>
          <w:bCs/>
        </w:rPr>
        <w:t>REF</w:t>
      </w:r>
      <w:r w:rsidRPr="00851740">
        <w:rPr>
          <w:rFonts w:ascii="Arial" w:hAnsi="Arial" w:cs="Arial"/>
          <w:b/>
          <w:bCs/>
        </w:rPr>
        <w:t xml:space="preserve">: </w:t>
      </w:r>
      <w:r w:rsidR="00851740" w:rsidRPr="00851740">
        <w:rPr>
          <w:rFonts w:ascii="Arial" w:hAnsi="Arial" w:cs="Arial"/>
          <w:b/>
          <w:bCs/>
        </w:rPr>
        <w:t>FOI 400</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1DE9366B" w14:textId="77777777" w:rsidR="00F80E91" w:rsidRDefault="00F80E91" w:rsidP="00D14AB1">
      <w:pPr>
        <w:rPr>
          <w:rFonts w:ascii="Arial" w:hAnsi="Arial" w:cs="Arial"/>
          <w:lang w:val="en-US"/>
        </w:rPr>
      </w:pPr>
    </w:p>
    <w:p w14:paraId="61C8CDDF" w14:textId="77777777" w:rsidR="00494E97" w:rsidRPr="00494E97" w:rsidRDefault="00494E97" w:rsidP="00494E97">
      <w:pPr>
        <w:rPr>
          <w:rFonts w:ascii="Arial" w:hAnsi="Arial" w:cs="Arial"/>
        </w:rPr>
      </w:pPr>
      <w:r w:rsidRPr="00494E97">
        <w:rPr>
          <w:rFonts w:ascii="Arial" w:hAnsi="Arial" w:cs="Arial"/>
          <w:b/>
          <w:bCs/>
        </w:rPr>
        <w:t>Council tax:</w:t>
      </w:r>
    </w:p>
    <w:p w14:paraId="6F8EC4BE" w14:textId="77777777" w:rsidR="00494E97" w:rsidRPr="00494E97" w:rsidRDefault="00494E97" w:rsidP="00494E97">
      <w:pPr>
        <w:numPr>
          <w:ilvl w:val="0"/>
          <w:numId w:val="10"/>
        </w:numPr>
        <w:rPr>
          <w:rFonts w:ascii="Arial" w:hAnsi="Arial" w:cs="Arial"/>
        </w:rPr>
      </w:pPr>
      <w:r w:rsidRPr="00494E97">
        <w:rPr>
          <w:rFonts w:ascii="Arial" w:hAnsi="Arial" w:cs="Arial"/>
        </w:rPr>
        <w:t xml:space="preserve">The number of live </w:t>
      </w:r>
      <w:r w:rsidRPr="00494E97">
        <w:rPr>
          <w:rFonts w:ascii="Arial" w:hAnsi="Arial" w:cs="Arial"/>
          <w:b/>
          <w:bCs/>
        </w:rPr>
        <w:t>council tax accounts</w:t>
      </w:r>
      <w:r w:rsidRPr="00494E97">
        <w:rPr>
          <w:rFonts w:ascii="Arial" w:hAnsi="Arial" w:cs="Arial"/>
        </w:rPr>
        <w:t xml:space="preserve"> at the end of each financial year (if held).</w:t>
      </w:r>
    </w:p>
    <w:p w14:paraId="531E99F8" w14:textId="49DBD92D" w:rsidR="00494E97" w:rsidRPr="00494E97" w:rsidRDefault="00494E97" w:rsidP="00494E97">
      <w:pPr>
        <w:rPr>
          <w:rFonts w:ascii="Arial" w:hAnsi="Arial" w:cs="Arial"/>
        </w:rPr>
      </w:pPr>
      <w:r w:rsidRPr="00494E97">
        <w:rPr>
          <w:rFonts w:ascii="Arial" w:hAnsi="Arial" w:cs="Arial"/>
        </w:rPr>
        <w:t xml:space="preserve">2.   The number of council tax </w:t>
      </w:r>
      <w:r w:rsidRPr="00494E97">
        <w:rPr>
          <w:rFonts w:ascii="Arial" w:hAnsi="Arial" w:cs="Arial"/>
          <w:b/>
          <w:bCs/>
        </w:rPr>
        <w:t>accounts with arrears</w:t>
      </w:r>
      <w:r w:rsidRPr="00494E97">
        <w:rPr>
          <w:rFonts w:ascii="Arial" w:hAnsi="Arial" w:cs="Arial"/>
        </w:rPr>
        <w:t xml:space="preserve"> at the end of each financial year.</w:t>
      </w:r>
    </w:p>
    <w:p w14:paraId="58059D21" w14:textId="17D3E9EA" w:rsidR="00494E97" w:rsidRDefault="00494E97" w:rsidP="00494E97">
      <w:pPr>
        <w:rPr>
          <w:rFonts w:ascii="Arial" w:hAnsi="Arial" w:cs="Arial"/>
        </w:rPr>
      </w:pPr>
      <w:r w:rsidRPr="00494E97">
        <w:rPr>
          <w:rFonts w:ascii="Arial" w:hAnsi="Arial" w:cs="Arial"/>
        </w:rPr>
        <w:t xml:space="preserve">3.   The total value (£) of </w:t>
      </w:r>
      <w:r w:rsidRPr="00494E97">
        <w:rPr>
          <w:rFonts w:ascii="Arial" w:hAnsi="Arial" w:cs="Arial"/>
          <w:b/>
          <w:bCs/>
        </w:rPr>
        <w:t>council tax arrears</w:t>
      </w:r>
      <w:r w:rsidRPr="00494E97">
        <w:rPr>
          <w:rFonts w:ascii="Arial" w:hAnsi="Arial" w:cs="Arial"/>
        </w:rPr>
        <w:t xml:space="preserve"> outstanding at the end of each financial year.</w:t>
      </w:r>
    </w:p>
    <w:p w14:paraId="54E92743" w14:textId="77777777" w:rsidR="00494E97" w:rsidRDefault="00494E97" w:rsidP="00494E97">
      <w:pPr>
        <w:rPr>
          <w:rFonts w:ascii="Arial" w:hAnsi="Arial" w:cs="Arial"/>
        </w:rPr>
      </w:pPr>
    </w:p>
    <w:p w14:paraId="7A2FBA2A" w14:textId="77777777" w:rsidR="00206E7A" w:rsidRPr="00206E7A" w:rsidRDefault="00206E7A" w:rsidP="00206E7A">
      <w:pPr>
        <w:rPr>
          <w:rFonts w:ascii="Arial" w:hAnsi="Arial" w:cs="Arial"/>
        </w:rPr>
      </w:pPr>
      <w:r w:rsidRPr="00206E7A">
        <w:rPr>
          <w:rFonts w:ascii="Arial" w:hAnsi="Arial" w:cs="Arial"/>
          <w:b/>
          <w:bCs/>
        </w:rPr>
        <w:t>Debt collection:</w:t>
      </w:r>
    </w:p>
    <w:p w14:paraId="16A04E66" w14:textId="77777777" w:rsidR="00206E7A" w:rsidRDefault="00206E7A" w:rsidP="00206E7A">
      <w:pPr>
        <w:rPr>
          <w:rFonts w:ascii="Arial" w:hAnsi="Arial" w:cs="Arial"/>
        </w:rPr>
      </w:pPr>
      <w:r w:rsidRPr="00206E7A">
        <w:rPr>
          <w:rFonts w:ascii="Arial" w:hAnsi="Arial" w:cs="Arial"/>
        </w:rPr>
        <w:t>4.   </w:t>
      </w:r>
      <w:r>
        <w:rPr>
          <w:rFonts w:ascii="Arial" w:hAnsi="Arial" w:cs="Arial"/>
        </w:rPr>
        <w:t>T</w:t>
      </w:r>
      <w:r w:rsidRPr="00206E7A">
        <w:rPr>
          <w:rFonts w:ascii="Arial" w:hAnsi="Arial" w:cs="Arial"/>
        </w:rPr>
        <w:t xml:space="preserve">he total amount (£) of council tax </w:t>
      </w:r>
      <w:r w:rsidRPr="00206E7A">
        <w:rPr>
          <w:rFonts w:ascii="Arial" w:hAnsi="Arial" w:cs="Arial"/>
          <w:b/>
          <w:bCs/>
        </w:rPr>
        <w:t>arrears collected/recovered</w:t>
      </w:r>
      <w:r w:rsidRPr="00206E7A">
        <w:rPr>
          <w:rFonts w:ascii="Arial" w:hAnsi="Arial" w:cs="Arial"/>
        </w:rPr>
        <w:t xml:space="preserve"> in each financial year </w:t>
      </w:r>
    </w:p>
    <w:p w14:paraId="1405E9AD" w14:textId="54E35EFE" w:rsidR="00206E7A" w:rsidRPr="00206E7A" w:rsidRDefault="00206E7A" w:rsidP="00206E7A">
      <w:pPr>
        <w:rPr>
          <w:rFonts w:ascii="Arial" w:hAnsi="Arial" w:cs="Arial"/>
        </w:rPr>
      </w:pPr>
      <w:r>
        <w:rPr>
          <w:rFonts w:ascii="Arial" w:hAnsi="Arial" w:cs="Arial"/>
        </w:rPr>
        <w:t xml:space="preserve">      </w:t>
      </w:r>
      <w:r w:rsidRPr="00206E7A">
        <w:rPr>
          <w:rFonts w:ascii="Arial" w:hAnsi="Arial" w:cs="Arial"/>
        </w:rPr>
        <w:t>(regardless of the year the debt relates to).</w:t>
      </w:r>
    </w:p>
    <w:p w14:paraId="41E2549C" w14:textId="5B48091E" w:rsidR="00206E7A" w:rsidRPr="00206E7A" w:rsidRDefault="00206E7A" w:rsidP="00206E7A">
      <w:pPr>
        <w:rPr>
          <w:rFonts w:ascii="Arial" w:hAnsi="Arial" w:cs="Arial"/>
        </w:rPr>
      </w:pPr>
      <w:r w:rsidRPr="00206E7A">
        <w:rPr>
          <w:rFonts w:ascii="Arial" w:hAnsi="Arial" w:cs="Arial"/>
        </w:rPr>
        <w:t xml:space="preserve">5.   The total number of </w:t>
      </w:r>
      <w:r w:rsidRPr="00206E7A">
        <w:rPr>
          <w:rFonts w:ascii="Arial" w:hAnsi="Arial" w:cs="Arial"/>
          <w:b/>
          <w:bCs/>
        </w:rPr>
        <w:t>liability orders issued</w:t>
      </w:r>
      <w:r w:rsidRPr="00206E7A">
        <w:rPr>
          <w:rFonts w:ascii="Arial" w:hAnsi="Arial" w:cs="Arial"/>
        </w:rPr>
        <w:t xml:space="preserve"> for council tax arrears in each financial year.</w:t>
      </w:r>
    </w:p>
    <w:p w14:paraId="2EBE6B26" w14:textId="77777777" w:rsidR="00206E7A" w:rsidRDefault="00206E7A" w:rsidP="00206E7A">
      <w:pPr>
        <w:rPr>
          <w:rFonts w:ascii="Arial" w:hAnsi="Arial" w:cs="Arial"/>
        </w:rPr>
      </w:pPr>
      <w:r w:rsidRPr="00206E7A">
        <w:rPr>
          <w:rFonts w:ascii="Arial" w:hAnsi="Arial" w:cs="Arial"/>
        </w:rPr>
        <w:t xml:space="preserve">6.   The total value (£) of </w:t>
      </w:r>
      <w:r w:rsidRPr="00206E7A">
        <w:rPr>
          <w:rFonts w:ascii="Arial" w:hAnsi="Arial" w:cs="Arial"/>
          <w:b/>
          <w:bCs/>
        </w:rPr>
        <w:t>liability order costs</w:t>
      </w:r>
      <w:r w:rsidRPr="00206E7A">
        <w:rPr>
          <w:rFonts w:ascii="Arial" w:hAnsi="Arial" w:cs="Arial"/>
        </w:rPr>
        <w:t xml:space="preserve"> charged to council tax accounts in each financial </w:t>
      </w:r>
    </w:p>
    <w:p w14:paraId="22D4B872" w14:textId="6AF8C725" w:rsidR="00206E7A" w:rsidRPr="00206E7A" w:rsidRDefault="00206E7A" w:rsidP="00206E7A">
      <w:pPr>
        <w:rPr>
          <w:rFonts w:ascii="Arial" w:hAnsi="Arial" w:cs="Arial"/>
        </w:rPr>
      </w:pPr>
      <w:r>
        <w:rPr>
          <w:rFonts w:ascii="Arial" w:hAnsi="Arial" w:cs="Arial"/>
        </w:rPr>
        <w:t xml:space="preserve">       </w:t>
      </w:r>
      <w:r w:rsidRPr="00206E7A">
        <w:rPr>
          <w:rFonts w:ascii="Arial" w:hAnsi="Arial" w:cs="Arial"/>
        </w:rPr>
        <w:t>year.</w:t>
      </w:r>
    </w:p>
    <w:p w14:paraId="50A6E200" w14:textId="77777777" w:rsidR="00206E7A" w:rsidRDefault="00206E7A" w:rsidP="00206E7A">
      <w:pPr>
        <w:rPr>
          <w:rFonts w:ascii="Arial" w:hAnsi="Arial" w:cs="Arial"/>
        </w:rPr>
      </w:pPr>
      <w:r w:rsidRPr="00206E7A">
        <w:rPr>
          <w:rFonts w:ascii="Arial" w:hAnsi="Arial" w:cs="Arial"/>
        </w:rPr>
        <w:t xml:space="preserve">7.   The total number of </w:t>
      </w:r>
      <w:r w:rsidRPr="00206E7A">
        <w:rPr>
          <w:rFonts w:ascii="Arial" w:hAnsi="Arial" w:cs="Arial"/>
          <w:b/>
          <w:bCs/>
        </w:rPr>
        <w:t>council tax arrears cases referred to enforcement agents</w:t>
      </w:r>
      <w:r w:rsidRPr="00206E7A">
        <w:rPr>
          <w:rFonts w:ascii="Arial" w:hAnsi="Arial" w:cs="Arial"/>
        </w:rPr>
        <w:t xml:space="preserve"> in each </w:t>
      </w:r>
    </w:p>
    <w:p w14:paraId="55B4A3BC" w14:textId="43FC768D" w:rsidR="00206E7A" w:rsidRPr="00206E7A" w:rsidRDefault="00206E7A" w:rsidP="00206E7A">
      <w:pPr>
        <w:rPr>
          <w:rFonts w:ascii="Arial" w:hAnsi="Arial" w:cs="Arial"/>
        </w:rPr>
      </w:pPr>
      <w:r>
        <w:rPr>
          <w:rFonts w:ascii="Arial" w:hAnsi="Arial" w:cs="Arial"/>
        </w:rPr>
        <w:t xml:space="preserve">      </w:t>
      </w:r>
      <w:r w:rsidRPr="00206E7A">
        <w:rPr>
          <w:rFonts w:ascii="Arial" w:hAnsi="Arial" w:cs="Arial"/>
        </w:rPr>
        <w:t>financial year.</w:t>
      </w:r>
    </w:p>
    <w:p w14:paraId="51CED7AA" w14:textId="77777777" w:rsidR="00206E7A" w:rsidRDefault="00206E7A" w:rsidP="00206E7A">
      <w:pPr>
        <w:rPr>
          <w:rFonts w:ascii="Arial" w:hAnsi="Arial" w:cs="Arial"/>
        </w:rPr>
      </w:pPr>
      <w:r w:rsidRPr="00206E7A">
        <w:rPr>
          <w:rFonts w:ascii="Arial" w:hAnsi="Arial" w:cs="Arial"/>
        </w:rPr>
        <w:t xml:space="preserve">8.   The total </w:t>
      </w:r>
      <w:r w:rsidRPr="00206E7A">
        <w:rPr>
          <w:rFonts w:ascii="Arial" w:hAnsi="Arial" w:cs="Arial"/>
          <w:b/>
          <w:bCs/>
        </w:rPr>
        <w:t>value (£) of unpaid council tax debt for cases referred to enforcement</w:t>
      </w:r>
      <w:r w:rsidRPr="00206E7A">
        <w:rPr>
          <w:rFonts w:ascii="Arial" w:hAnsi="Arial" w:cs="Arial"/>
        </w:rPr>
        <w:t xml:space="preserve"> agents </w:t>
      </w:r>
    </w:p>
    <w:p w14:paraId="3E46B893" w14:textId="77777777" w:rsidR="00206E7A" w:rsidRDefault="00206E7A" w:rsidP="00206E7A">
      <w:pPr>
        <w:rPr>
          <w:rFonts w:ascii="Arial" w:hAnsi="Arial" w:cs="Arial"/>
        </w:rPr>
      </w:pPr>
      <w:r>
        <w:rPr>
          <w:rFonts w:ascii="Arial" w:hAnsi="Arial" w:cs="Arial"/>
        </w:rPr>
        <w:t xml:space="preserve">       </w:t>
      </w:r>
      <w:r w:rsidRPr="00206E7A">
        <w:rPr>
          <w:rFonts w:ascii="Arial" w:hAnsi="Arial" w:cs="Arial"/>
        </w:rPr>
        <w:t xml:space="preserve">in each financial year (based on the balance recorded when the case was referred, where </w:t>
      </w:r>
    </w:p>
    <w:p w14:paraId="0DFA5797" w14:textId="2B70D2D5" w:rsidR="00206E7A" w:rsidRPr="00206E7A" w:rsidRDefault="00206E7A" w:rsidP="00206E7A">
      <w:pPr>
        <w:rPr>
          <w:rFonts w:ascii="Arial" w:hAnsi="Arial" w:cs="Arial"/>
        </w:rPr>
      </w:pPr>
      <w:r>
        <w:rPr>
          <w:rFonts w:ascii="Arial" w:hAnsi="Arial" w:cs="Arial"/>
        </w:rPr>
        <w:t xml:space="preserve">      </w:t>
      </w:r>
      <w:r w:rsidRPr="00206E7A">
        <w:rPr>
          <w:rFonts w:ascii="Arial" w:hAnsi="Arial" w:cs="Arial"/>
        </w:rPr>
        <w:t>available).</w:t>
      </w:r>
    </w:p>
    <w:p w14:paraId="307B53F4" w14:textId="77777777" w:rsidR="00206E7A" w:rsidRDefault="00206E7A" w:rsidP="00206E7A">
      <w:pPr>
        <w:rPr>
          <w:rFonts w:ascii="Arial" w:hAnsi="Arial" w:cs="Arial"/>
        </w:rPr>
      </w:pPr>
      <w:r w:rsidRPr="00206E7A">
        <w:rPr>
          <w:rFonts w:ascii="Arial" w:hAnsi="Arial" w:cs="Arial"/>
        </w:rPr>
        <w:t xml:space="preserve">9.   The total value (£) of </w:t>
      </w:r>
      <w:r w:rsidRPr="00206E7A">
        <w:rPr>
          <w:rFonts w:ascii="Arial" w:hAnsi="Arial" w:cs="Arial"/>
          <w:b/>
          <w:bCs/>
        </w:rPr>
        <w:t>enforcement agent fees</w:t>
      </w:r>
      <w:r w:rsidRPr="00206E7A">
        <w:rPr>
          <w:rFonts w:ascii="Arial" w:hAnsi="Arial" w:cs="Arial"/>
        </w:rPr>
        <w:t xml:space="preserve"> added to council tax accounts in each </w:t>
      </w:r>
    </w:p>
    <w:p w14:paraId="41C5FEF7" w14:textId="26487288" w:rsidR="00494E97" w:rsidRDefault="00206E7A" w:rsidP="00206E7A">
      <w:pPr>
        <w:rPr>
          <w:rFonts w:ascii="Arial" w:hAnsi="Arial" w:cs="Arial"/>
        </w:rPr>
      </w:pPr>
      <w:r>
        <w:rPr>
          <w:rFonts w:ascii="Arial" w:hAnsi="Arial" w:cs="Arial"/>
        </w:rPr>
        <w:t xml:space="preserve">      </w:t>
      </w:r>
      <w:r w:rsidRPr="00206E7A">
        <w:rPr>
          <w:rFonts w:ascii="Arial" w:hAnsi="Arial" w:cs="Arial"/>
        </w:rPr>
        <w:t>financial year (if held</w:t>
      </w:r>
    </w:p>
    <w:p w14:paraId="349E3A02" w14:textId="77777777" w:rsidR="00494E97" w:rsidRDefault="00494E97" w:rsidP="00494E97">
      <w:pPr>
        <w:rPr>
          <w:rFonts w:ascii="Arial" w:hAnsi="Arial" w:cs="Arial"/>
        </w:rPr>
      </w:pPr>
    </w:p>
    <w:p w14:paraId="46DD83E7" w14:textId="77777777" w:rsidR="00494E97" w:rsidRDefault="00494E97" w:rsidP="00494E97">
      <w:pPr>
        <w:rPr>
          <w:rFonts w:ascii="Arial" w:hAnsi="Arial" w:cs="Arial"/>
        </w:rPr>
      </w:pPr>
    </w:p>
    <w:p w14:paraId="72DA2CF4" w14:textId="77777777" w:rsidR="00494E97" w:rsidRPr="00494E97" w:rsidRDefault="00494E97" w:rsidP="00494E97">
      <w:pPr>
        <w:rPr>
          <w:rFonts w:ascii="Arial" w:hAnsi="Arial" w:cs="Arial"/>
        </w:rPr>
      </w:pPr>
    </w:p>
    <w:p w14:paraId="4E004757" w14:textId="77777777" w:rsidR="00F80E91" w:rsidRDefault="00F80E91" w:rsidP="00D14AB1">
      <w:pPr>
        <w:rPr>
          <w:rFonts w:ascii="Arial" w:hAnsi="Arial" w:cs="Arial"/>
          <w:lang w:val="en-US"/>
        </w:rPr>
      </w:pPr>
    </w:p>
    <w:p w14:paraId="3073AB92" w14:textId="77777777" w:rsidR="00F80E91" w:rsidRDefault="00F80E91" w:rsidP="00D14AB1">
      <w:pPr>
        <w:rPr>
          <w:rFonts w:ascii="Arial" w:hAnsi="Arial" w:cs="Arial"/>
          <w:lang w:val="en-US"/>
        </w:rPr>
      </w:pPr>
    </w:p>
    <w:tbl>
      <w:tblPr>
        <w:tblW w:w="9603" w:type="dxa"/>
        <w:tblInd w:w="-3" w:type="dxa"/>
        <w:tblCellMar>
          <w:left w:w="0" w:type="dxa"/>
          <w:right w:w="0" w:type="dxa"/>
        </w:tblCellMar>
        <w:tblLook w:val="04A0" w:firstRow="1" w:lastRow="0" w:firstColumn="1" w:lastColumn="0" w:noHBand="0" w:noVBand="1"/>
      </w:tblPr>
      <w:tblGrid>
        <w:gridCol w:w="780"/>
        <w:gridCol w:w="1885"/>
        <w:gridCol w:w="1885"/>
        <w:gridCol w:w="1885"/>
        <w:gridCol w:w="1885"/>
        <w:gridCol w:w="1885"/>
      </w:tblGrid>
      <w:tr w:rsidR="00F80E91" w:rsidRPr="00F80E91" w14:paraId="654C87CA" w14:textId="77777777">
        <w:trPr>
          <w:trHeight w:val="300"/>
        </w:trPr>
        <w:tc>
          <w:tcPr>
            <w:tcW w:w="7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FE4749"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 </w:t>
            </w:r>
          </w:p>
        </w:tc>
        <w:tc>
          <w:tcPr>
            <w:tcW w:w="173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E017F67"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2021/22</w:t>
            </w:r>
          </w:p>
        </w:tc>
        <w:tc>
          <w:tcPr>
            <w:tcW w:w="177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8181FC"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2022/23</w:t>
            </w:r>
          </w:p>
        </w:tc>
        <w:tc>
          <w:tcPr>
            <w:tcW w:w="177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5648C38"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2023/24</w:t>
            </w:r>
          </w:p>
        </w:tc>
        <w:tc>
          <w:tcPr>
            <w:tcW w:w="177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641ADB"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2024/25</w:t>
            </w:r>
          </w:p>
        </w:tc>
        <w:tc>
          <w:tcPr>
            <w:tcW w:w="177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672D95"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2025/26</w:t>
            </w:r>
          </w:p>
        </w:tc>
      </w:tr>
      <w:tr w:rsidR="00F80E91" w:rsidRPr="00F80E91" w14:paraId="348A4CE8" w14:textId="77777777">
        <w:trPr>
          <w:trHeight w:val="300"/>
        </w:trPr>
        <w:tc>
          <w:tcPr>
            <w:tcW w:w="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024858"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 xml:space="preserve">Q1 </w:t>
            </w:r>
          </w:p>
        </w:tc>
        <w:tc>
          <w:tcPr>
            <w:tcW w:w="17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9E2A64"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CD10AD"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05883B"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47E892"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B1F82A"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r>
      <w:tr w:rsidR="00F80E91" w:rsidRPr="00F80E91" w14:paraId="3D8D6E3B" w14:textId="77777777">
        <w:trPr>
          <w:trHeight w:val="300"/>
        </w:trPr>
        <w:tc>
          <w:tcPr>
            <w:tcW w:w="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B53E78"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Q2</w:t>
            </w:r>
          </w:p>
        </w:tc>
        <w:tc>
          <w:tcPr>
            <w:tcW w:w="17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2A416F"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82,296</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1D0FE0"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83,734</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F6C1F8"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83,733</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7C0669"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82,166</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0EB047"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85,796</w:t>
            </w:r>
          </w:p>
        </w:tc>
      </w:tr>
      <w:tr w:rsidR="00F80E91" w:rsidRPr="00F80E91" w14:paraId="30C9B8A7" w14:textId="77777777">
        <w:trPr>
          <w:trHeight w:val="300"/>
        </w:trPr>
        <w:tc>
          <w:tcPr>
            <w:tcW w:w="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CAB07C"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Q3</w:t>
            </w:r>
          </w:p>
        </w:tc>
        <w:tc>
          <w:tcPr>
            <w:tcW w:w="17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E18A31"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£21,307,578.40</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7F7177"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£23,643,431.30</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098DB"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£24,306,396.08</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64CCFF"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£24,906,387.98</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191864"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£27,253,391.14</w:t>
            </w:r>
          </w:p>
        </w:tc>
      </w:tr>
      <w:tr w:rsidR="00F80E91" w:rsidRPr="00F80E91" w14:paraId="3BB99BA5" w14:textId="77777777">
        <w:trPr>
          <w:trHeight w:val="300"/>
        </w:trPr>
        <w:tc>
          <w:tcPr>
            <w:tcW w:w="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BDB01D"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Q4</w:t>
            </w:r>
          </w:p>
        </w:tc>
        <w:tc>
          <w:tcPr>
            <w:tcW w:w="17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1A3363"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£7,424,404.44</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321131"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£8,300,819.77</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CA4F6E"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£9,369,541.21</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560582"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£10,231,163.22</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1DF7D5"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£9,043,404.60</w:t>
            </w:r>
          </w:p>
        </w:tc>
      </w:tr>
      <w:tr w:rsidR="00F80E91" w:rsidRPr="00F80E91" w14:paraId="2DC711AB" w14:textId="77777777">
        <w:trPr>
          <w:trHeight w:val="300"/>
        </w:trPr>
        <w:tc>
          <w:tcPr>
            <w:tcW w:w="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94D524"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Q5</w:t>
            </w:r>
          </w:p>
        </w:tc>
        <w:tc>
          <w:tcPr>
            <w:tcW w:w="17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C1BBDE"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18341</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0FBCF"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15440</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D8E49A"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14449</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6CED2"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17674</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F93731"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17272</w:t>
            </w:r>
          </w:p>
        </w:tc>
      </w:tr>
      <w:tr w:rsidR="00F80E91" w:rsidRPr="00F80E91" w14:paraId="6CA482D1" w14:textId="77777777">
        <w:trPr>
          <w:trHeight w:val="300"/>
        </w:trPr>
        <w:tc>
          <w:tcPr>
            <w:tcW w:w="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FD8FCF"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Q6</w:t>
            </w:r>
          </w:p>
        </w:tc>
        <w:tc>
          <w:tcPr>
            <w:tcW w:w="17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2DC01"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3EEA1B"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A7DC2F"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6D0C4"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73B2F0"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r>
      <w:tr w:rsidR="00F80E91" w:rsidRPr="00F80E91" w14:paraId="3DB10B2B" w14:textId="77777777">
        <w:trPr>
          <w:trHeight w:val="300"/>
        </w:trPr>
        <w:tc>
          <w:tcPr>
            <w:tcW w:w="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3B7FC3"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Q7</w:t>
            </w:r>
          </w:p>
        </w:tc>
        <w:tc>
          <w:tcPr>
            <w:tcW w:w="17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A15526"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6329</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4C6FA5"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4877</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63C271"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5492</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27370E"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5912</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77CAEE"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6220</w:t>
            </w:r>
          </w:p>
        </w:tc>
      </w:tr>
      <w:tr w:rsidR="00F80E91" w:rsidRPr="00F80E91" w14:paraId="08CA08B4" w14:textId="77777777">
        <w:trPr>
          <w:trHeight w:val="300"/>
        </w:trPr>
        <w:tc>
          <w:tcPr>
            <w:tcW w:w="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06387A"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Q8</w:t>
            </w:r>
          </w:p>
        </w:tc>
        <w:tc>
          <w:tcPr>
            <w:tcW w:w="17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B18194"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5,228,015.48</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C4DBC4"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4,189,254.70</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2FAF3F"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5,269,429.08</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62AA7A"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5,796,308.89</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32D2B4"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6,365,651.75</w:t>
            </w:r>
          </w:p>
        </w:tc>
      </w:tr>
      <w:tr w:rsidR="00F80E91" w:rsidRPr="00F80E91" w14:paraId="2B42B351" w14:textId="77777777">
        <w:trPr>
          <w:trHeight w:val="300"/>
        </w:trPr>
        <w:tc>
          <w:tcPr>
            <w:tcW w:w="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BC958A" w14:textId="77777777" w:rsidR="00F80E91" w:rsidRPr="00AB254E" w:rsidRDefault="00F80E91" w:rsidP="00F80E91">
            <w:pPr>
              <w:rPr>
                <w:rFonts w:ascii="Arial" w:hAnsi="Arial" w:cs="Arial"/>
                <w:b/>
                <w:bCs/>
                <w:color w:val="215E99" w:themeColor="text2" w:themeTint="BF"/>
              </w:rPr>
            </w:pPr>
            <w:r w:rsidRPr="00AB254E">
              <w:rPr>
                <w:rFonts w:ascii="Arial" w:hAnsi="Arial" w:cs="Arial"/>
                <w:b/>
                <w:bCs/>
                <w:color w:val="215E99" w:themeColor="text2" w:themeTint="BF"/>
              </w:rPr>
              <w:t>Q9</w:t>
            </w:r>
          </w:p>
        </w:tc>
        <w:tc>
          <w:tcPr>
            <w:tcW w:w="173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C1B928"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E90E32"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D265C3"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96BC43"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C128B0" w14:textId="77777777" w:rsidR="00F80E91" w:rsidRPr="00AB254E" w:rsidRDefault="00F80E91" w:rsidP="00F80E91">
            <w:pPr>
              <w:rPr>
                <w:rFonts w:ascii="Arial" w:hAnsi="Arial" w:cs="Arial"/>
                <w:color w:val="215E99" w:themeColor="text2" w:themeTint="BF"/>
              </w:rPr>
            </w:pPr>
            <w:r w:rsidRPr="00AB254E">
              <w:rPr>
                <w:rFonts w:ascii="Arial" w:hAnsi="Arial" w:cs="Arial"/>
                <w:color w:val="215E99" w:themeColor="text2" w:themeTint="BF"/>
              </w:rPr>
              <w:t>DATA NOT HELD</w:t>
            </w:r>
          </w:p>
        </w:tc>
      </w:tr>
    </w:tbl>
    <w:p w14:paraId="1F216066" w14:textId="77777777" w:rsidR="00F80E91" w:rsidRPr="00D14AB1" w:rsidRDefault="00F80E91" w:rsidP="00D14AB1">
      <w:pPr>
        <w:rPr>
          <w:rFonts w:ascii="Arial" w:hAnsi="Arial" w:cs="Arial"/>
          <w:lang w:val="en-US"/>
        </w:rPr>
      </w:pPr>
    </w:p>
    <w:p w14:paraId="1ED32A35" w14:textId="77777777" w:rsidR="00DC0227" w:rsidRDefault="00DC0227" w:rsidP="00D14AB1">
      <w:pPr>
        <w:rPr>
          <w:rFonts w:ascii="Arial" w:hAnsi="Arial" w:cs="Arial"/>
          <w:lang w:val="en-US"/>
        </w:rPr>
      </w:pPr>
    </w:p>
    <w:p w14:paraId="6AE19BCC" w14:textId="7131F34D" w:rsidR="00E45DE0" w:rsidRPr="00E45DE0" w:rsidRDefault="00E45DE0" w:rsidP="00E45DE0">
      <w:pPr>
        <w:rPr>
          <w:rFonts w:ascii="Arial" w:hAnsi="Arial" w:cs="Arial"/>
          <w:color w:val="215E99" w:themeColor="text2" w:themeTint="BF"/>
        </w:rPr>
      </w:pPr>
      <w:r w:rsidRPr="00E45DE0">
        <w:rPr>
          <w:rFonts w:ascii="Arial" w:hAnsi="Arial" w:cs="Arial"/>
          <w:color w:val="215E99" w:themeColor="text2" w:themeTint="BF"/>
        </w:rPr>
        <w:t>Under Section 1(1)(a) of the Freedom of Information Act 2000, the Council confirms that where “data not held” is stated, it does not hold the requested information. This is because the data is not recorded or collated in a way that enables it to be extracted in the format requeste</w:t>
      </w:r>
      <w:r>
        <w:rPr>
          <w:rFonts w:ascii="Arial" w:hAnsi="Arial" w:cs="Arial"/>
          <w:color w:val="215E99" w:themeColor="text2" w:themeTint="BF"/>
        </w:rPr>
        <w:t>d</w:t>
      </w:r>
    </w:p>
    <w:p w14:paraId="7346F4A9" w14:textId="77777777" w:rsidR="00DC0227" w:rsidRDefault="00DC0227" w:rsidP="00D14AB1">
      <w:pPr>
        <w:rPr>
          <w:rFonts w:ascii="Arial" w:hAnsi="Arial" w:cs="Arial"/>
          <w:lang w:val="en-US"/>
        </w:rPr>
      </w:pPr>
    </w:p>
    <w:p w14:paraId="21BD56DE" w14:textId="2606F08C"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52EB" w14:textId="77777777" w:rsidR="008113E9" w:rsidRDefault="008113E9">
      <w:r>
        <w:separator/>
      </w:r>
    </w:p>
  </w:endnote>
  <w:endnote w:type="continuationSeparator" w:id="0">
    <w:p w14:paraId="2EEE1E0E" w14:textId="77777777" w:rsidR="008113E9" w:rsidRDefault="0081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8113E9">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8113E9">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A0E3" w14:textId="77777777" w:rsidR="008113E9" w:rsidRDefault="008113E9">
      <w:r>
        <w:separator/>
      </w:r>
    </w:p>
  </w:footnote>
  <w:footnote w:type="continuationSeparator" w:id="0">
    <w:p w14:paraId="6B9C9B98" w14:textId="77777777" w:rsidR="008113E9" w:rsidRDefault="0081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8113E9">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A9C"/>
    <w:multiLevelType w:val="multilevel"/>
    <w:tmpl w:val="FFEA3C0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C2F0E17"/>
    <w:multiLevelType w:val="multilevel"/>
    <w:tmpl w:val="7E56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F1DCA"/>
    <w:multiLevelType w:val="hybridMultilevel"/>
    <w:tmpl w:val="89B42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03F97"/>
    <w:multiLevelType w:val="hybridMultilevel"/>
    <w:tmpl w:val="A3846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5"/>
  </w:num>
  <w:num w:numId="2" w16cid:durableId="1453331103">
    <w:abstractNumId w:val="6"/>
  </w:num>
  <w:num w:numId="3" w16cid:durableId="232009271">
    <w:abstractNumId w:val="7"/>
  </w:num>
  <w:num w:numId="4" w16cid:durableId="851646817">
    <w:abstractNumId w:val="9"/>
  </w:num>
  <w:num w:numId="5" w16cid:durableId="1329208751">
    <w:abstractNumId w:val="3"/>
  </w:num>
  <w:num w:numId="6" w16cid:durableId="2003921918">
    <w:abstractNumId w:val="8"/>
  </w:num>
  <w:num w:numId="7" w16cid:durableId="353042495">
    <w:abstractNumId w:val="1"/>
  </w:num>
  <w:num w:numId="8" w16cid:durableId="1855147771">
    <w:abstractNumId w:val="2"/>
  </w:num>
  <w:num w:numId="9" w16cid:durableId="1374767286">
    <w:abstractNumId w:val="4"/>
  </w:num>
  <w:num w:numId="10" w16cid:durableId="699168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06E7A"/>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4E97"/>
    <w:rsid w:val="00495A86"/>
    <w:rsid w:val="004B64A6"/>
    <w:rsid w:val="004C63FE"/>
    <w:rsid w:val="004D0578"/>
    <w:rsid w:val="004D0FA2"/>
    <w:rsid w:val="004E280E"/>
    <w:rsid w:val="004E2B25"/>
    <w:rsid w:val="004F1398"/>
    <w:rsid w:val="004F534B"/>
    <w:rsid w:val="005015E0"/>
    <w:rsid w:val="00512D28"/>
    <w:rsid w:val="00514C76"/>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113E9"/>
    <w:rsid w:val="0083179A"/>
    <w:rsid w:val="00851740"/>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254E"/>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0227"/>
    <w:rsid w:val="00DC2454"/>
    <w:rsid w:val="00DC3E38"/>
    <w:rsid w:val="00DC5390"/>
    <w:rsid w:val="00DC7091"/>
    <w:rsid w:val="00DC7FE4"/>
    <w:rsid w:val="00DD6967"/>
    <w:rsid w:val="00DE5151"/>
    <w:rsid w:val="00DF1787"/>
    <w:rsid w:val="00E0219B"/>
    <w:rsid w:val="00E03B30"/>
    <w:rsid w:val="00E13A79"/>
    <w:rsid w:val="00E226A7"/>
    <w:rsid w:val="00E2597C"/>
    <w:rsid w:val="00E45DE0"/>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1CA6"/>
    <w:rsid w:val="00F341A5"/>
    <w:rsid w:val="00F611AD"/>
    <w:rsid w:val="00F63B31"/>
    <w:rsid w:val="00F652F4"/>
    <w:rsid w:val="00F7201F"/>
    <w:rsid w:val="00F80E91"/>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3833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10</cp:revision>
  <dcterms:created xsi:type="dcterms:W3CDTF">2026-04-30T13:53:00Z</dcterms:created>
  <dcterms:modified xsi:type="dcterms:W3CDTF">2026-05-27T14:24:00Z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