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4BBAFFB0"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182A77">
              <w:rPr>
                <w:rFonts w:ascii="Arial" w:hAnsi="Arial" w:cs="Arial"/>
              </w:rPr>
              <w:t>16 July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r w:rsidRPr="007F4E77">
        <w:rPr>
          <w:b w:val="0"/>
        </w:rPr>
        <w:t>Typetalk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2FDB6067" w14:textId="77777777" w:rsidR="000266AD" w:rsidRPr="000266AD" w:rsidRDefault="000266AD" w:rsidP="000266AD">
      <w:pPr>
        <w:rPr>
          <w:rFonts w:ascii="Arial" w:hAnsi="Arial" w:cs="Arial"/>
        </w:rPr>
      </w:pPr>
      <w:r w:rsidRPr="000266AD">
        <w:rPr>
          <w:rFonts w:ascii="Arial" w:hAnsi="Arial" w:cs="Arial"/>
        </w:rPr>
        <w:t>Dear </w:t>
      </w:r>
      <w:r w:rsidR="001054C1">
        <w:rPr>
          <w:rFonts w:ascii="Arial" w:hAnsi="Arial" w:cs="Arial"/>
        </w:rPr>
        <w:t>Requester</w:t>
      </w:r>
      <w:r w:rsidRPr="000266AD">
        <w:rPr>
          <w:rFonts w:ascii="Arial" w:hAnsi="Arial" w:cs="Arial"/>
        </w:rPr>
        <w:t>, </w:t>
      </w:r>
    </w:p>
    <w:p w14:paraId="0E0E2045" w14:textId="77777777" w:rsidR="000266AD" w:rsidRPr="000266AD" w:rsidRDefault="000266AD" w:rsidP="000266AD">
      <w:pPr>
        <w:rPr>
          <w:rFonts w:ascii="Arial" w:hAnsi="Arial" w:cs="Arial"/>
        </w:rPr>
      </w:pPr>
      <w:r w:rsidRPr="000266AD">
        <w:rPr>
          <w:rFonts w:ascii="Arial" w:hAnsi="Arial" w:cs="Arial"/>
        </w:rPr>
        <w:t> </w:t>
      </w:r>
    </w:p>
    <w:p w14:paraId="4EF8AA2B" w14:textId="77777777" w:rsidR="000266AD" w:rsidRDefault="000266AD" w:rsidP="000266AD">
      <w:pPr>
        <w:rPr>
          <w:rFonts w:ascii="Arial" w:hAnsi="Arial" w:cs="Arial"/>
        </w:rPr>
      </w:pPr>
      <w:r w:rsidRPr="000266AD">
        <w:rPr>
          <w:rFonts w:ascii="Arial" w:hAnsi="Arial" w:cs="Arial"/>
          <w:b/>
          <w:bCs/>
        </w:rPr>
        <w:t>Environmental Information Regulations 2004 - Request for Information</w:t>
      </w:r>
      <w:r w:rsidRPr="000266AD">
        <w:rPr>
          <w:rFonts w:ascii="Arial" w:hAnsi="Arial" w:cs="Arial"/>
        </w:rPr>
        <w:t> </w:t>
      </w:r>
    </w:p>
    <w:p w14:paraId="34A508D1" w14:textId="526F229B" w:rsidR="00DC18F0" w:rsidRPr="00B224D0" w:rsidRDefault="00DC18F0" w:rsidP="00DC18F0">
      <w:pPr>
        <w:rPr>
          <w:rFonts w:ascii="Arial" w:hAnsi="Arial" w:cs="Arial"/>
          <w:b/>
          <w:bCs/>
        </w:rPr>
      </w:pPr>
      <w:r w:rsidRPr="00A35FCB">
        <w:rPr>
          <w:rFonts w:ascii="Arial" w:hAnsi="Arial" w:cs="Arial"/>
          <w:b/>
          <w:bCs/>
        </w:rPr>
        <w:t>REF</w:t>
      </w:r>
      <w:r w:rsidR="00585F7A">
        <w:rPr>
          <w:rFonts w:ascii="Arial" w:hAnsi="Arial" w:cs="Arial"/>
          <w:b/>
          <w:bCs/>
        </w:rPr>
        <w:t xml:space="preserve">: </w:t>
      </w:r>
      <w:r w:rsidR="00182A77">
        <w:rPr>
          <w:rFonts w:ascii="Arial" w:hAnsi="Arial" w:cs="Arial"/>
          <w:b/>
          <w:bCs/>
        </w:rPr>
        <w:t>EIR 640</w:t>
      </w:r>
    </w:p>
    <w:p w14:paraId="3A50018F" w14:textId="77777777" w:rsidR="000266AD" w:rsidRPr="000266AD" w:rsidRDefault="000266AD" w:rsidP="000266AD">
      <w:pPr>
        <w:rPr>
          <w:rFonts w:ascii="Arial" w:hAnsi="Arial" w:cs="Arial"/>
        </w:rPr>
      </w:pPr>
    </w:p>
    <w:p w14:paraId="2A58974E" w14:textId="77777777" w:rsidR="000266AD" w:rsidRPr="000266AD" w:rsidRDefault="000266AD" w:rsidP="000266AD">
      <w:pPr>
        <w:rPr>
          <w:rFonts w:ascii="Arial" w:hAnsi="Arial" w:cs="Arial"/>
        </w:rPr>
      </w:pPr>
      <w:r w:rsidRPr="000266AD">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0266AD" w:rsidRDefault="000266AD" w:rsidP="000266AD">
      <w:pPr>
        <w:rPr>
          <w:rFonts w:ascii="Arial" w:hAnsi="Arial" w:cs="Arial"/>
        </w:rPr>
      </w:pPr>
      <w:r w:rsidRPr="000266AD">
        <w:rPr>
          <w:rFonts w:ascii="Arial" w:hAnsi="Arial" w:cs="Arial"/>
        </w:rPr>
        <w:t> </w:t>
      </w:r>
    </w:p>
    <w:p w14:paraId="624A9D27" w14:textId="77777777" w:rsidR="000266AD" w:rsidRPr="000266AD" w:rsidRDefault="000266AD" w:rsidP="000266AD">
      <w:pPr>
        <w:rPr>
          <w:rFonts w:ascii="Arial" w:hAnsi="Arial" w:cs="Arial"/>
        </w:rPr>
      </w:pPr>
      <w:r w:rsidRPr="000266AD">
        <w:rPr>
          <w:rFonts w:ascii="Arial" w:hAnsi="Arial" w:cs="Arial"/>
        </w:rPr>
        <w:t>Please find our response to your request below. This information has been provided by the relevant service area/s.  </w:t>
      </w:r>
    </w:p>
    <w:p w14:paraId="637BDF0C" w14:textId="77777777" w:rsidR="000266AD" w:rsidRPr="000266AD" w:rsidRDefault="000266AD" w:rsidP="000266AD">
      <w:pPr>
        <w:rPr>
          <w:rFonts w:ascii="Arial" w:hAnsi="Arial" w:cs="Arial"/>
        </w:rPr>
      </w:pPr>
      <w:r w:rsidRPr="000266AD">
        <w:rPr>
          <w:rFonts w:ascii="Arial" w:hAnsi="Arial" w:cs="Arial"/>
        </w:rPr>
        <w:t> </w:t>
      </w:r>
    </w:p>
    <w:p w14:paraId="2228AF32" w14:textId="77777777" w:rsidR="000266AD" w:rsidRDefault="000266AD" w:rsidP="000266AD">
      <w:pPr>
        <w:rPr>
          <w:rFonts w:ascii="Arial" w:hAnsi="Arial" w:cs="Arial"/>
        </w:rPr>
      </w:pPr>
      <w:r w:rsidRPr="000266AD">
        <w:rPr>
          <w:rFonts w:ascii="Arial" w:hAnsi="Arial" w:cs="Arial"/>
          <w:lang w:val="en-US"/>
        </w:rPr>
        <w:t>Please find attached a spreadsheet containing the information, where held, which you requested.</w:t>
      </w:r>
      <w:r w:rsidRPr="000266AD">
        <w:rPr>
          <w:rFonts w:ascii="Arial" w:hAnsi="Arial" w:cs="Arial"/>
        </w:rPr>
        <w:t> </w:t>
      </w:r>
    </w:p>
    <w:p w14:paraId="2B5929A6" w14:textId="77777777" w:rsidR="00D43E09" w:rsidRDefault="00D43E09" w:rsidP="000266AD">
      <w:pPr>
        <w:rPr>
          <w:rFonts w:ascii="Arial" w:hAnsi="Arial" w:cs="Arial"/>
        </w:rPr>
      </w:pPr>
    </w:p>
    <w:p w14:paraId="5AAF8E77" w14:textId="77777777" w:rsidR="008700C1" w:rsidRDefault="00D43E09" w:rsidP="000266AD">
      <w:pPr>
        <w:rPr>
          <w:rFonts w:ascii="Arial" w:hAnsi="Arial" w:cs="Arial"/>
          <w:i/>
          <w:iCs/>
        </w:rPr>
      </w:pPr>
      <w:r w:rsidRPr="00D43E09">
        <w:rPr>
          <w:rFonts w:ascii="Arial" w:hAnsi="Arial" w:cs="Arial"/>
          <w:i/>
          <w:iCs/>
        </w:rPr>
        <w:t>For each financial year from 2024/25 to 2025/26 (or the most recent two years available), please provide:</w:t>
      </w:r>
      <w:r w:rsidRPr="00D43E09">
        <w:rPr>
          <w:rFonts w:ascii="Arial" w:hAnsi="Arial" w:cs="Arial"/>
          <w:i/>
          <w:iCs/>
        </w:rPr>
        <w:br/>
      </w:r>
      <w:r w:rsidRPr="00D43E09">
        <w:rPr>
          <w:rFonts w:ascii="Arial" w:hAnsi="Arial" w:cs="Arial"/>
          <w:i/>
          <w:iCs/>
        </w:rPr>
        <w:br/>
        <w:t>1. The total number of planning applications submitted for residential home extensions.</w:t>
      </w:r>
    </w:p>
    <w:tbl>
      <w:tblPr>
        <w:tblW w:w="0" w:type="auto"/>
        <w:tblInd w:w="720" w:type="dxa"/>
        <w:tblCellMar>
          <w:left w:w="0" w:type="dxa"/>
          <w:right w:w="0" w:type="dxa"/>
        </w:tblCellMar>
        <w:tblLook w:val="04A0" w:firstRow="1" w:lastRow="0" w:firstColumn="1" w:lastColumn="0" w:noHBand="0" w:noVBand="1"/>
      </w:tblPr>
      <w:tblGrid>
        <w:gridCol w:w="1271"/>
        <w:gridCol w:w="1134"/>
      </w:tblGrid>
      <w:tr w:rsidR="008700C1" w:rsidRPr="008700C1" w14:paraId="46C26D6E" w14:textId="77777777" w:rsidTr="008700C1">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15B568" w14:textId="77777777" w:rsidR="008700C1" w:rsidRPr="008700C1" w:rsidRDefault="008700C1" w:rsidP="008700C1">
            <w:pPr>
              <w:rPr>
                <w:rFonts w:ascii="Arial" w:hAnsi="Arial" w:cs="Arial"/>
                <w:i/>
                <w:iCs/>
                <w:color w:val="215E99" w:themeColor="text2" w:themeTint="BF"/>
              </w:rPr>
            </w:pPr>
            <w:r w:rsidRPr="008700C1">
              <w:rPr>
                <w:rFonts w:ascii="Arial" w:hAnsi="Arial" w:cs="Arial"/>
                <w:i/>
                <w:iCs/>
                <w:color w:val="215E99" w:themeColor="text2" w:themeTint="BF"/>
              </w:rPr>
              <w:t>2024-25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D102E" w14:textId="77777777" w:rsidR="008700C1" w:rsidRPr="008700C1" w:rsidRDefault="008700C1" w:rsidP="008700C1">
            <w:pPr>
              <w:rPr>
                <w:rFonts w:ascii="Arial" w:hAnsi="Arial" w:cs="Arial"/>
                <w:i/>
                <w:iCs/>
                <w:color w:val="215E99" w:themeColor="text2" w:themeTint="BF"/>
              </w:rPr>
            </w:pPr>
            <w:r w:rsidRPr="008700C1">
              <w:rPr>
                <w:rFonts w:ascii="Arial" w:hAnsi="Arial" w:cs="Arial"/>
                <w:i/>
                <w:iCs/>
                <w:color w:val="215E99" w:themeColor="text2" w:themeTint="BF"/>
              </w:rPr>
              <w:t>620</w:t>
            </w:r>
          </w:p>
        </w:tc>
      </w:tr>
      <w:tr w:rsidR="008700C1" w:rsidRPr="008700C1" w14:paraId="1FCCB2BC" w14:textId="77777777" w:rsidTr="008700C1">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D020F" w14:textId="77777777" w:rsidR="008700C1" w:rsidRPr="008700C1" w:rsidRDefault="008700C1" w:rsidP="008700C1">
            <w:pPr>
              <w:rPr>
                <w:rFonts w:ascii="Arial" w:hAnsi="Arial" w:cs="Arial"/>
                <w:i/>
                <w:iCs/>
                <w:color w:val="215E99" w:themeColor="text2" w:themeTint="BF"/>
              </w:rPr>
            </w:pPr>
            <w:r w:rsidRPr="008700C1">
              <w:rPr>
                <w:rFonts w:ascii="Arial" w:hAnsi="Arial" w:cs="Arial"/>
                <w:i/>
                <w:iCs/>
                <w:color w:val="215E99" w:themeColor="text2" w:themeTint="BF"/>
              </w:rPr>
              <w:t>2025-26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E74BEE8" w14:textId="77777777" w:rsidR="008700C1" w:rsidRPr="008700C1" w:rsidRDefault="008700C1" w:rsidP="008700C1">
            <w:pPr>
              <w:rPr>
                <w:rFonts w:ascii="Arial" w:hAnsi="Arial" w:cs="Arial"/>
                <w:i/>
                <w:iCs/>
                <w:color w:val="215E99" w:themeColor="text2" w:themeTint="BF"/>
              </w:rPr>
            </w:pPr>
            <w:r w:rsidRPr="008700C1">
              <w:rPr>
                <w:rFonts w:ascii="Arial" w:hAnsi="Arial" w:cs="Arial"/>
                <w:i/>
                <w:iCs/>
                <w:color w:val="215E99" w:themeColor="text2" w:themeTint="BF"/>
              </w:rPr>
              <w:t>555</w:t>
            </w:r>
          </w:p>
        </w:tc>
      </w:tr>
    </w:tbl>
    <w:p w14:paraId="5C544CDD" w14:textId="57912551" w:rsidR="0011499A" w:rsidRPr="0011499A" w:rsidRDefault="00D43E09" w:rsidP="0011499A">
      <w:pPr>
        <w:rPr>
          <w:rFonts w:ascii="Arial" w:hAnsi="Arial" w:cs="Arial"/>
          <w:i/>
          <w:iCs/>
        </w:rPr>
      </w:pPr>
      <w:r w:rsidRPr="00D43E09">
        <w:rPr>
          <w:rFonts w:ascii="Arial" w:hAnsi="Arial" w:cs="Arial"/>
          <w:i/>
          <w:iCs/>
        </w:rPr>
        <w:br/>
        <w:t>2. The total number of planning applications for residential home extensions that were approved.</w:t>
      </w:r>
      <w:r w:rsidR="0011499A">
        <w:rPr>
          <w:rFonts w:ascii="Arial" w:hAnsi="Arial" w:cs="Arial"/>
          <w:i/>
          <w:iCs/>
        </w:rPr>
        <w:t xml:space="preserve"> </w:t>
      </w:r>
      <w:r w:rsidR="0011499A" w:rsidRPr="0011499A">
        <w:rPr>
          <w:rFonts w:ascii="Arial" w:hAnsi="Arial" w:cs="Arial"/>
          <w:i/>
          <w:iCs/>
        </w:rPr>
        <w:t xml:space="preserve">Q2 </w:t>
      </w:r>
    </w:p>
    <w:tbl>
      <w:tblPr>
        <w:tblW w:w="0" w:type="auto"/>
        <w:tblInd w:w="720" w:type="dxa"/>
        <w:tblCellMar>
          <w:left w:w="0" w:type="dxa"/>
          <w:right w:w="0" w:type="dxa"/>
        </w:tblCellMar>
        <w:tblLook w:val="04A0" w:firstRow="1" w:lastRow="0" w:firstColumn="1" w:lastColumn="0" w:noHBand="0" w:noVBand="1"/>
      </w:tblPr>
      <w:tblGrid>
        <w:gridCol w:w="1271"/>
        <w:gridCol w:w="1134"/>
      </w:tblGrid>
      <w:tr w:rsidR="0011499A" w:rsidRPr="0011499A" w14:paraId="51043421" w14:textId="77777777" w:rsidTr="0011499A">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5A31D" w14:textId="77777777" w:rsidR="0011499A" w:rsidRPr="0011499A" w:rsidRDefault="0011499A" w:rsidP="0011499A">
            <w:pPr>
              <w:rPr>
                <w:rFonts w:ascii="Arial" w:hAnsi="Arial" w:cs="Arial"/>
                <w:i/>
                <w:iCs/>
                <w:color w:val="215E99" w:themeColor="text2" w:themeTint="BF"/>
              </w:rPr>
            </w:pPr>
            <w:r w:rsidRPr="0011499A">
              <w:rPr>
                <w:rFonts w:ascii="Arial" w:hAnsi="Arial" w:cs="Arial"/>
                <w:i/>
                <w:iCs/>
                <w:color w:val="215E99" w:themeColor="text2" w:themeTint="BF"/>
              </w:rPr>
              <w:t>2024-25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1F476F" w14:textId="77777777" w:rsidR="0011499A" w:rsidRPr="0011499A" w:rsidRDefault="0011499A" w:rsidP="0011499A">
            <w:pPr>
              <w:rPr>
                <w:rFonts w:ascii="Arial" w:hAnsi="Arial" w:cs="Arial"/>
                <w:i/>
                <w:iCs/>
                <w:color w:val="215E99" w:themeColor="text2" w:themeTint="BF"/>
              </w:rPr>
            </w:pPr>
            <w:r w:rsidRPr="0011499A">
              <w:rPr>
                <w:rFonts w:ascii="Arial" w:hAnsi="Arial" w:cs="Arial"/>
                <w:i/>
                <w:iCs/>
                <w:color w:val="215E99" w:themeColor="text2" w:themeTint="BF"/>
              </w:rPr>
              <w:t>521</w:t>
            </w:r>
          </w:p>
        </w:tc>
      </w:tr>
      <w:tr w:rsidR="0011499A" w:rsidRPr="0011499A" w14:paraId="1CC1DBEC" w14:textId="77777777" w:rsidTr="0011499A">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0C8C8" w14:textId="77777777" w:rsidR="0011499A" w:rsidRPr="0011499A" w:rsidRDefault="0011499A" w:rsidP="0011499A">
            <w:pPr>
              <w:rPr>
                <w:rFonts w:ascii="Arial" w:hAnsi="Arial" w:cs="Arial"/>
                <w:i/>
                <w:iCs/>
                <w:color w:val="215E99" w:themeColor="text2" w:themeTint="BF"/>
              </w:rPr>
            </w:pPr>
            <w:r w:rsidRPr="0011499A">
              <w:rPr>
                <w:rFonts w:ascii="Arial" w:hAnsi="Arial" w:cs="Arial"/>
                <w:i/>
                <w:iCs/>
                <w:color w:val="215E99" w:themeColor="text2" w:themeTint="BF"/>
              </w:rPr>
              <w:t>2025-26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B335EA0" w14:textId="77777777" w:rsidR="0011499A" w:rsidRPr="0011499A" w:rsidRDefault="0011499A" w:rsidP="0011499A">
            <w:pPr>
              <w:rPr>
                <w:rFonts w:ascii="Arial" w:hAnsi="Arial" w:cs="Arial"/>
                <w:i/>
                <w:iCs/>
                <w:color w:val="215E99" w:themeColor="text2" w:themeTint="BF"/>
              </w:rPr>
            </w:pPr>
            <w:r w:rsidRPr="0011499A">
              <w:rPr>
                <w:rFonts w:ascii="Arial" w:hAnsi="Arial" w:cs="Arial"/>
                <w:i/>
                <w:iCs/>
                <w:color w:val="215E99" w:themeColor="text2" w:themeTint="BF"/>
              </w:rPr>
              <w:t>537</w:t>
            </w:r>
          </w:p>
        </w:tc>
      </w:tr>
    </w:tbl>
    <w:p w14:paraId="2FD737A8" w14:textId="77777777" w:rsidR="0011499A" w:rsidRDefault="00D43E09" w:rsidP="000266AD">
      <w:pPr>
        <w:rPr>
          <w:rFonts w:ascii="Arial" w:hAnsi="Arial" w:cs="Arial"/>
          <w:i/>
          <w:iCs/>
        </w:rPr>
      </w:pPr>
      <w:r w:rsidRPr="00D43E09">
        <w:rPr>
          <w:rFonts w:ascii="Arial" w:hAnsi="Arial" w:cs="Arial"/>
          <w:i/>
          <w:iCs/>
        </w:rPr>
        <w:lastRenderedPageBreak/>
        <w:br/>
      </w:r>
      <w:r w:rsidRPr="00D43E09">
        <w:rPr>
          <w:rFonts w:ascii="Arial" w:hAnsi="Arial" w:cs="Arial"/>
          <w:i/>
          <w:iCs/>
        </w:rPr>
        <w:br/>
        <w:t>3. The total number of planning applications for residential home extensions that were refused.</w:t>
      </w:r>
    </w:p>
    <w:p w14:paraId="086FDCC5" w14:textId="0133A179" w:rsidR="0011499A" w:rsidRPr="0011499A" w:rsidRDefault="0011499A" w:rsidP="0011499A">
      <w:pPr>
        <w:ind w:left="720"/>
        <w:rPr>
          <w:rFonts w:ascii="Arial" w:hAnsi="Arial" w:cs="Arial"/>
          <w:i/>
          <w:iCs/>
          <w:color w:val="215E99" w:themeColor="text2" w:themeTint="BF"/>
        </w:rPr>
      </w:pPr>
    </w:p>
    <w:tbl>
      <w:tblPr>
        <w:tblW w:w="0" w:type="auto"/>
        <w:tblInd w:w="720" w:type="dxa"/>
        <w:tblCellMar>
          <w:left w:w="0" w:type="dxa"/>
          <w:right w:w="0" w:type="dxa"/>
        </w:tblCellMar>
        <w:tblLook w:val="04A0" w:firstRow="1" w:lastRow="0" w:firstColumn="1" w:lastColumn="0" w:noHBand="0" w:noVBand="1"/>
      </w:tblPr>
      <w:tblGrid>
        <w:gridCol w:w="1271"/>
        <w:gridCol w:w="1134"/>
      </w:tblGrid>
      <w:tr w:rsidR="0011499A" w:rsidRPr="0011499A" w14:paraId="37B4A34A" w14:textId="77777777" w:rsidTr="0011499A">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51B9A" w14:textId="77777777" w:rsidR="0011499A" w:rsidRPr="0011499A" w:rsidRDefault="0011499A" w:rsidP="0011499A">
            <w:pPr>
              <w:rPr>
                <w:rFonts w:ascii="Arial" w:hAnsi="Arial" w:cs="Arial"/>
                <w:i/>
                <w:iCs/>
                <w:color w:val="215E99" w:themeColor="text2" w:themeTint="BF"/>
              </w:rPr>
            </w:pPr>
            <w:r w:rsidRPr="0011499A">
              <w:rPr>
                <w:rFonts w:ascii="Arial" w:hAnsi="Arial" w:cs="Arial"/>
                <w:i/>
                <w:iCs/>
                <w:color w:val="215E99" w:themeColor="text2" w:themeTint="BF"/>
              </w:rPr>
              <w:t>2024-25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B0B8F7" w14:textId="77777777" w:rsidR="0011499A" w:rsidRPr="0011499A" w:rsidRDefault="0011499A" w:rsidP="0011499A">
            <w:pPr>
              <w:rPr>
                <w:rFonts w:ascii="Arial" w:hAnsi="Arial" w:cs="Arial"/>
                <w:i/>
                <w:iCs/>
                <w:color w:val="215E99" w:themeColor="text2" w:themeTint="BF"/>
              </w:rPr>
            </w:pPr>
            <w:r w:rsidRPr="0011499A">
              <w:rPr>
                <w:rFonts w:ascii="Arial" w:hAnsi="Arial" w:cs="Arial"/>
                <w:i/>
                <w:iCs/>
                <w:color w:val="215E99" w:themeColor="text2" w:themeTint="BF"/>
              </w:rPr>
              <w:t>57</w:t>
            </w:r>
          </w:p>
        </w:tc>
      </w:tr>
      <w:tr w:rsidR="0011499A" w:rsidRPr="0011499A" w14:paraId="752865F9" w14:textId="77777777" w:rsidTr="0011499A">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91345" w14:textId="77777777" w:rsidR="0011499A" w:rsidRPr="0011499A" w:rsidRDefault="0011499A" w:rsidP="0011499A">
            <w:pPr>
              <w:rPr>
                <w:rFonts w:ascii="Arial" w:hAnsi="Arial" w:cs="Arial"/>
                <w:i/>
                <w:iCs/>
                <w:color w:val="215E99" w:themeColor="text2" w:themeTint="BF"/>
              </w:rPr>
            </w:pPr>
            <w:r w:rsidRPr="0011499A">
              <w:rPr>
                <w:rFonts w:ascii="Arial" w:hAnsi="Arial" w:cs="Arial"/>
                <w:i/>
                <w:iCs/>
                <w:color w:val="215E99" w:themeColor="text2" w:themeTint="BF"/>
              </w:rPr>
              <w:t>2025-26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394F930" w14:textId="77777777" w:rsidR="0011499A" w:rsidRPr="0011499A" w:rsidRDefault="0011499A" w:rsidP="0011499A">
            <w:pPr>
              <w:rPr>
                <w:rFonts w:ascii="Arial" w:hAnsi="Arial" w:cs="Arial"/>
                <w:i/>
                <w:iCs/>
                <w:color w:val="215E99" w:themeColor="text2" w:themeTint="BF"/>
              </w:rPr>
            </w:pPr>
            <w:r w:rsidRPr="0011499A">
              <w:rPr>
                <w:rFonts w:ascii="Arial" w:hAnsi="Arial" w:cs="Arial"/>
                <w:i/>
                <w:iCs/>
                <w:color w:val="215E99" w:themeColor="text2" w:themeTint="BF"/>
              </w:rPr>
              <w:t>31</w:t>
            </w:r>
          </w:p>
        </w:tc>
      </w:tr>
    </w:tbl>
    <w:p w14:paraId="66FC308E" w14:textId="232F058C" w:rsidR="00723803" w:rsidRDefault="00D43E09" w:rsidP="000266AD">
      <w:pPr>
        <w:rPr>
          <w:rFonts w:ascii="Arial" w:hAnsi="Arial" w:cs="Arial"/>
          <w:i/>
          <w:iCs/>
        </w:rPr>
      </w:pPr>
      <w:r w:rsidRPr="00D43E09">
        <w:rPr>
          <w:rFonts w:ascii="Arial" w:hAnsi="Arial" w:cs="Arial"/>
          <w:i/>
          <w:iCs/>
        </w:rPr>
        <w:br/>
        <w:t>4. Where available, a breakdown of applications and refusals by extension type, including:</w:t>
      </w:r>
      <w:r w:rsidRPr="00D43E09">
        <w:rPr>
          <w:rFonts w:ascii="Arial" w:hAnsi="Arial" w:cs="Arial"/>
          <w:i/>
          <w:iCs/>
        </w:rPr>
        <w:br/>
        <w:t>Rear extensions</w:t>
      </w:r>
      <w:r w:rsidRPr="00D43E09">
        <w:rPr>
          <w:rFonts w:ascii="Arial" w:hAnsi="Arial" w:cs="Arial"/>
          <w:i/>
          <w:iCs/>
        </w:rPr>
        <w:br/>
        <w:t>Side extensions</w:t>
      </w:r>
      <w:r w:rsidRPr="00D43E09">
        <w:rPr>
          <w:rFonts w:ascii="Arial" w:hAnsi="Arial" w:cs="Arial"/>
          <w:i/>
          <w:iCs/>
        </w:rPr>
        <w:br/>
        <w:t>Front extensions</w:t>
      </w:r>
      <w:r w:rsidRPr="00D43E09">
        <w:rPr>
          <w:rFonts w:ascii="Arial" w:hAnsi="Arial" w:cs="Arial"/>
          <w:i/>
          <w:iCs/>
        </w:rPr>
        <w:br/>
        <w:t>Two-storey extensions</w:t>
      </w:r>
      <w:r w:rsidRPr="00D43E09">
        <w:rPr>
          <w:rFonts w:ascii="Arial" w:hAnsi="Arial" w:cs="Arial"/>
          <w:i/>
          <w:iCs/>
        </w:rPr>
        <w:br/>
        <w:t>Loft conversions</w:t>
      </w:r>
      <w:r w:rsidRPr="00D43E09">
        <w:rPr>
          <w:rFonts w:ascii="Arial" w:hAnsi="Arial" w:cs="Arial"/>
          <w:i/>
          <w:iCs/>
        </w:rPr>
        <w:br/>
        <w:t>Conservatories</w:t>
      </w:r>
      <w:r w:rsidRPr="00D43E09">
        <w:rPr>
          <w:rFonts w:ascii="Arial" w:hAnsi="Arial" w:cs="Arial"/>
          <w:i/>
          <w:iCs/>
        </w:rPr>
        <w:br/>
        <w:t>Other residential extensions</w:t>
      </w:r>
      <w:r w:rsidRPr="00D43E09">
        <w:rPr>
          <w:rFonts w:ascii="Arial" w:hAnsi="Arial" w:cs="Arial"/>
          <w:i/>
          <w:iCs/>
        </w:rPr>
        <w:br/>
      </w:r>
      <w:r w:rsidRPr="00D43E09">
        <w:rPr>
          <w:rFonts w:ascii="Arial" w:hAnsi="Arial" w:cs="Arial"/>
          <w:i/>
          <w:iCs/>
        </w:rPr>
        <w:br/>
        <w:t>5. Where available, the five most common reasons cited for refusal of residential extension applications during the period.</w:t>
      </w:r>
    </w:p>
    <w:p w14:paraId="2038CFE0" w14:textId="77777777" w:rsidR="00723803" w:rsidRDefault="00723803" w:rsidP="000266AD">
      <w:pPr>
        <w:rPr>
          <w:rFonts w:ascii="Arial" w:hAnsi="Arial" w:cs="Arial"/>
        </w:rPr>
      </w:pPr>
    </w:p>
    <w:p w14:paraId="62BE8FDE" w14:textId="5F8ACA31" w:rsidR="00776283" w:rsidRPr="00DB395E" w:rsidRDefault="00776283" w:rsidP="00776283">
      <w:pPr>
        <w:rPr>
          <w:rFonts w:ascii="Arial" w:hAnsi="Arial" w:cs="Arial"/>
          <w:color w:val="215E99" w:themeColor="text2" w:themeTint="BF"/>
        </w:rPr>
      </w:pPr>
      <w:r w:rsidRPr="00DB395E">
        <w:rPr>
          <w:rFonts w:ascii="Arial" w:hAnsi="Arial" w:cs="Arial"/>
          <w:color w:val="215E99" w:themeColor="text2" w:themeTint="BF"/>
        </w:rPr>
        <w:t>The Council does not hold a recorded breakdown of applications and refusals by extension type</w:t>
      </w:r>
      <w:r w:rsidR="004C13AD">
        <w:rPr>
          <w:rFonts w:ascii="Arial" w:hAnsi="Arial" w:cs="Arial"/>
          <w:color w:val="215E99" w:themeColor="text2" w:themeTint="BF"/>
        </w:rPr>
        <w:t xml:space="preserve"> in a retrievable format </w:t>
      </w:r>
      <w:r w:rsidRPr="00DB395E">
        <w:rPr>
          <w:rFonts w:ascii="Arial" w:hAnsi="Arial" w:cs="Arial"/>
          <w:color w:val="215E99" w:themeColor="text2" w:themeTint="BF"/>
        </w:rPr>
        <w:t>, nor a recorded analysis of the most common reasons for refusal. Regulation 5 of the Environmental Information Regulations 2004 provides a right of access to environmental information held by a public authority, but does not require a public authority to create new information in order to respond to a request.</w:t>
      </w:r>
    </w:p>
    <w:p w14:paraId="0B0B85AC" w14:textId="77777777" w:rsidR="00D4429E" w:rsidRPr="00DB395E" w:rsidRDefault="00D4429E" w:rsidP="00776283">
      <w:pPr>
        <w:rPr>
          <w:rFonts w:ascii="Arial" w:hAnsi="Arial" w:cs="Arial"/>
          <w:color w:val="215E99" w:themeColor="text2" w:themeTint="BF"/>
        </w:rPr>
      </w:pPr>
    </w:p>
    <w:p w14:paraId="43A22D83" w14:textId="77777777" w:rsidR="00776283" w:rsidRPr="00DB395E" w:rsidRDefault="00776283" w:rsidP="00776283">
      <w:pPr>
        <w:rPr>
          <w:rFonts w:ascii="Arial" w:hAnsi="Arial" w:cs="Arial"/>
          <w:color w:val="215E99" w:themeColor="text2" w:themeTint="BF"/>
        </w:rPr>
      </w:pPr>
      <w:r w:rsidRPr="00DB395E">
        <w:rPr>
          <w:rFonts w:ascii="Arial" w:hAnsi="Arial" w:cs="Arial"/>
          <w:color w:val="215E99" w:themeColor="text2" w:themeTint="BF"/>
        </w:rPr>
        <w:t>To assist you, we have provided a CSV file containing the relevant planning application data, including the application description and decision. This may enable you to undertake your own analysis in respect of question 4.</w:t>
      </w:r>
    </w:p>
    <w:p w14:paraId="1660F0EA" w14:textId="77777777" w:rsidR="00D4429E" w:rsidRPr="00DB395E" w:rsidRDefault="00D4429E" w:rsidP="00776283">
      <w:pPr>
        <w:rPr>
          <w:rFonts w:ascii="Arial" w:hAnsi="Arial" w:cs="Arial"/>
          <w:color w:val="215E99" w:themeColor="text2" w:themeTint="BF"/>
        </w:rPr>
      </w:pPr>
    </w:p>
    <w:p w14:paraId="3FB8C9B7" w14:textId="69C234DC" w:rsidR="00776283" w:rsidRPr="00DB395E" w:rsidRDefault="00776283" w:rsidP="00776283">
      <w:pPr>
        <w:rPr>
          <w:rFonts w:ascii="Arial" w:hAnsi="Arial" w:cs="Arial"/>
          <w:color w:val="215E99" w:themeColor="text2" w:themeTint="BF"/>
        </w:rPr>
      </w:pPr>
      <w:r w:rsidRPr="00DB395E">
        <w:rPr>
          <w:rFonts w:ascii="Arial" w:hAnsi="Arial" w:cs="Arial"/>
          <w:color w:val="215E99" w:themeColor="text2" w:themeTint="BF"/>
        </w:rPr>
        <w:t>In relation to question 5, the reasons for refusal are contained within the individual decision notices, which are available via the Council's Public Access planning portal.</w:t>
      </w:r>
      <w:r w:rsidR="00DB395E" w:rsidRPr="00DB395E">
        <w:rPr>
          <w:rFonts w:ascii="Arial" w:hAnsi="Arial" w:cs="Arial"/>
          <w:color w:val="215E99" w:themeColor="text2" w:themeTint="BF"/>
        </w:rPr>
        <w:t xml:space="preserve"> </w:t>
      </w:r>
      <w:hyperlink r:id="rId14" w:history="1">
        <w:r w:rsidR="00DB395E" w:rsidRPr="00DB395E">
          <w:rPr>
            <w:rStyle w:val="Hyperlink"/>
            <w:rFonts w:ascii="Arial" w:hAnsi="Arial" w:cs="Arial"/>
            <w:color w:val="215E99" w:themeColor="text2" w:themeTint="BF"/>
          </w:rPr>
          <w:t>Simple Search</w:t>
        </w:r>
      </w:hyperlink>
    </w:p>
    <w:p w14:paraId="0DD5D0DB" w14:textId="24CE93AC" w:rsidR="000266AD" w:rsidRPr="000266AD" w:rsidRDefault="000266AD" w:rsidP="000266AD">
      <w:pPr>
        <w:rPr>
          <w:rFonts w:ascii="Arial" w:hAnsi="Arial" w:cs="Arial"/>
        </w:rPr>
      </w:pPr>
    </w:p>
    <w:p w14:paraId="260A71D2" w14:textId="0A0CC933" w:rsidR="000266AD" w:rsidRPr="000266AD" w:rsidRDefault="000266AD" w:rsidP="000266AD">
      <w:pPr>
        <w:rPr>
          <w:rFonts w:ascii="Arial" w:hAnsi="Arial" w:cs="Arial"/>
        </w:rPr>
      </w:pPr>
    </w:p>
    <w:p w14:paraId="79BD43DA" w14:textId="77777777" w:rsidR="00EA0D17" w:rsidRPr="00EA0D17" w:rsidRDefault="00EA0D17" w:rsidP="00EA0D17">
      <w:pPr>
        <w:rPr>
          <w:rFonts w:ascii="Arial" w:hAnsi="Arial" w:cs="Arial"/>
        </w:rPr>
      </w:pPr>
      <w:r w:rsidRPr="00EA0D17">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6"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45E60" w14:textId="77777777" w:rsidR="001D1F73" w:rsidRDefault="001D1F73">
      <w:r>
        <w:separator/>
      </w:r>
    </w:p>
  </w:endnote>
  <w:endnote w:type="continuationSeparator" w:id="0">
    <w:p w14:paraId="19E55065" w14:textId="77777777" w:rsidR="001D1F73" w:rsidRDefault="001D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1D1F73">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1D1F73">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D026" w14:textId="77777777" w:rsidR="001D1F73" w:rsidRDefault="001D1F73">
      <w:r>
        <w:separator/>
      </w:r>
    </w:p>
  </w:footnote>
  <w:footnote w:type="continuationSeparator" w:id="0">
    <w:p w14:paraId="6800B8E0" w14:textId="77777777" w:rsidR="001D1F73" w:rsidRDefault="001D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1D1F73">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1"/>
  </w:num>
  <w:num w:numId="2" w16cid:durableId="78450097">
    <w:abstractNumId w:val="2"/>
  </w:num>
  <w:num w:numId="3" w16cid:durableId="1642543280">
    <w:abstractNumId w:val="3"/>
  </w:num>
  <w:num w:numId="4" w16cid:durableId="1882744310">
    <w:abstractNumId w:val="5"/>
  </w:num>
  <w:num w:numId="5" w16cid:durableId="1843466584">
    <w:abstractNumId w:val="0"/>
  </w:num>
  <w:num w:numId="6" w16cid:durableId="59285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66AD"/>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9A"/>
    <w:rsid w:val="001149C2"/>
    <w:rsid w:val="00117597"/>
    <w:rsid w:val="001201C0"/>
    <w:rsid w:val="00134FA3"/>
    <w:rsid w:val="00137EC2"/>
    <w:rsid w:val="0015715D"/>
    <w:rsid w:val="00167699"/>
    <w:rsid w:val="00176DED"/>
    <w:rsid w:val="00177313"/>
    <w:rsid w:val="00182A77"/>
    <w:rsid w:val="001902D6"/>
    <w:rsid w:val="001C198B"/>
    <w:rsid w:val="001C6B51"/>
    <w:rsid w:val="001D1F73"/>
    <w:rsid w:val="001D446F"/>
    <w:rsid w:val="001D63E4"/>
    <w:rsid w:val="001F19C3"/>
    <w:rsid w:val="001F4138"/>
    <w:rsid w:val="001F49F2"/>
    <w:rsid w:val="00200994"/>
    <w:rsid w:val="002165CC"/>
    <w:rsid w:val="00226169"/>
    <w:rsid w:val="00251F01"/>
    <w:rsid w:val="00256E92"/>
    <w:rsid w:val="002674FB"/>
    <w:rsid w:val="00270FA7"/>
    <w:rsid w:val="00285BF6"/>
    <w:rsid w:val="002A3FD0"/>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439CC"/>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4A6"/>
    <w:rsid w:val="004C13AD"/>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23803"/>
    <w:rsid w:val="0076199A"/>
    <w:rsid w:val="00767C48"/>
    <w:rsid w:val="00771BE5"/>
    <w:rsid w:val="007751B3"/>
    <w:rsid w:val="00776283"/>
    <w:rsid w:val="0078113B"/>
    <w:rsid w:val="00781629"/>
    <w:rsid w:val="007967B8"/>
    <w:rsid w:val="007A103F"/>
    <w:rsid w:val="007A4963"/>
    <w:rsid w:val="007C7795"/>
    <w:rsid w:val="007F4E77"/>
    <w:rsid w:val="007F6B6C"/>
    <w:rsid w:val="0080189F"/>
    <w:rsid w:val="0084142B"/>
    <w:rsid w:val="00855D89"/>
    <w:rsid w:val="00864081"/>
    <w:rsid w:val="008700C1"/>
    <w:rsid w:val="008730ED"/>
    <w:rsid w:val="00877DE4"/>
    <w:rsid w:val="00881702"/>
    <w:rsid w:val="008878F4"/>
    <w:rsid w:val="00897B24"/>
    <w:rsid w:val="008A071D"/>
    <w:rsid w:val="008A3F99"/>
    <w:rsid w:val="008B4509"/>
    <w:rsid w:val="008D1FA3"/>
    <w:rsid w:val="008E72E9"/>
    <w:rsid w:val="008F0734"/>
    <w:rsid w:val="008F57C9"/>
    <w:rsid w:val="00905DB6"/>
    <w:rsid w:val="00920B51"/>
    <w:rsid w:val="009308F9"/>
    <w:rsid w:val="009402AB"/>
    <w:rsid w:val="00957442"/>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E0249"/>
    <w:rsid w:val="00AE45F9"/>
    <w:rsid w:val="00B01A4D"/>
    <w:rsid w:val="00B01F12"/>
    <w:rsid w:val="00B222D9"/>
    <w:rsid w:val="00B5633F"/>
    <w:rsid w:val="00B567D3"/>
    <w:rsid w:val="00B60B06"/>
    <w:rsid w:val="00B64A02"/>
    <w:rsid w:val="00B705E9"/>
    <w:rsid w:val="00B74B0B"/>
    <w:rsid w:val="00B8631C"/>
    <w:rsid w:val="00B95F08"/>
    <w:rsid w:val="00BC0455"/>
    <w:rsid w:val="00BD7CA3"/>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43E09"/>
    <w:rsid w:val="00D4429E"/>
    <w:rsid w:val="00D6738C"/>
    <w:rsid w:val="00D77CDA"/>
    <w:rsid w:val="00D84BF8"/>
    <w:rsid w:val="00D93CE9"/>
    <w:rsid w:val="00DA18D9"/>
    <w:rsid w:val="00DB395E"/>
    <w:rsid w:val="00DC18F0"/>
    <w:rsid w:val="00DC2454"/>
    <w:rsid w:val="00DC3E38"/>
    <w:rsid w:val="00DC5390"/>
    <w:rsid w:val="00DC7091"/>
    <w:rsid w:val="00DD6967"/>
    <w:rsid w:val="00DE5151"/>
    <w:rsid w:val="00DF1787"/>
    <w:rsid w:val="00DF5171"/>
    <w:rsid w:val="00E03B30"/>
    <w:rsid w:val="00E13A79"/>
    <w:rsid w:val="00E226A7"/>
    <w:rsid w:val="00E2597C"/>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lanning.wakefield.gov.uk/online-application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2.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4.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3698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14</cp:revision>
  <dcterms:created xsi:type="dcterms:W3CDTF">2026-04-30T13:54:00Z</dcterms:created>
  <dcterms:modified xsi:type="dcterms:W3CDTF">2026-07-16T08:06:00Z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