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371E3505"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F42088">
              <w:rPr>
                <w:rFonts w:ascii="Arial" w:hAnsi="Arial" w:cs="Arial"/>
              </w:rPr>
              <w:t>3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r w:rsidRPr="007F4E77">
        <w:rPr>
          <w:b w:val="0"/>
        </w:rPr>
        <w:t>Typetalk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6C48491D"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DA6B1F">
        <w:rPr>
          <w:rFonts w:ascii="Arial" w:hAnsi="Arial" w:cs="Arial"/>
          <w:b/>
          <w:bCs/>
        </w:rPr>
        <w:t>EIR 543</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471E79F6" w14:textId="77777777" w:rsidR="004033C9" w:rsidRDefault="004033C9" w:rsidP="000266AD">
      <w:pPr>
        <w:rPr>
          <w:rFonts w:ascii="Arial" w:hAnsi="Arial" w:cs="Arial"/>
        </w:rPr>
      </w:pPr>
    </w:p>
    <w:p w14:paraId="1D362889" w14:textId="77777777" w:rsidR="004033C9" w:rsidRPr="004033C9" w:rsidRDefault="004033C9" w:rsidP="004033C9">
      <w:pPr>
        <w:rPr>
          <w:rFonts w:ascii="Arial" w:hAnsi="Arial" w:cs="Arial"/>
          <w:i/>
          <w:iCs/>
        </w:rPr>
      </w:pPr>
      <w:r w:rsidRPr="004033C9">
        <w:rPr>
          <w:rFonts w:ascii="Arial" w:hAnsi="Arial" w:cs="Arial"/>
          <w:i/>
          <w:iCs/>
        </w:rPr>
        <w:t>Application: 23/02397/FUL – Woolley Solar Farm (Land at Haigh Lane and Land at Woolley Edge Lane, Wakefield)</w:t>
      </w:r>
    </w:p>
    <w:p w14:paraId="41BDC412" w14:textId="77777777" w:rsidR="004033C9" w:rsidRPr="004033C9" w:rsidRDefault="004033C9" w:rsidP="004033C9">
      <w:pPr>
        <w:rPr>
          <w:rFonts w:ascii="Arial" w:hAnsi="Arial" w:cs="Arial"/>
          <w:i/>
          <w:iCs/>
        </w:rPr>
      </w:pPr>
      <w:r w:rsidRPr="004033C9">
        <w:rPr>
          <w:rFonts w:ascii="Arial" w:hAnsi="Arial" w:cs="Arial"/>
          <w:i/>
          <w:iCs/>
        </w:rPr>
        <w:t>Following disclosure of previous officer/applicant correspondence, I request copies of all environmental information held (including emails, attachments, internal notes, Teams messages/chats, meeting notes, file notes, draft reports, consultation comments and correspondence with third parties) relating to the following matters:</w:t>
      </w:r>
    </w:p>
    <w:p w14:paraId="2817B823" w14:textId="77777777" w:rsidR="004033C9" w:rsidRPr="004033C9" w:rsidRDefault="004033C9" w:rsidP="004033C9">
      <w:pPr>
        <w:numPr>
          <w:ilvl w:val="0"/>
          <w:numId w:val="7"/>
        </w:numPr>
        <w:rPr>
          <w:rFonts w:ascii="Arial" w:hAnsi="Arial" w:cs="Arial"/>
          <w:i/>
          <w:iCs/>
        </w:rPr>
      </w:pPr>
      <w:r w:rsidRPr="004033C9">
        <w:rPr>
          <w:rFonts w:ascii="Arial" w:hAnsi="Arial" w:cs="Arial"/>
          <w:i/>
          <w:iCs/>
        </w:rPr>
        <w:t>Commencement period / implementation period</w:t>
      </w:r>
    </w:p>
    <w:p w14:paraId="30FFE923" w14:textId="77777777" w:rsidR="004033C9" w:rsidRPr="004033C9" w:rsidRDefault="004033C9" w:rsidP="004033C9">
      <w:pPr>
        <w:rPr>
          <w:rFonts w:ascii="Arial" w:hAnsi="Arial" w:cs="Arial"/>
          <w:i/>
          <w:iCs/>
        </w:rPr>
      </w:pPr>
      <w:r w:rsidRPr="004033C9">
        <w:rPr>
          <w:rFonts w:ascii="Arial" w:hAnsi="Arial" w:cs="Arial"/>
          <w:i/>
          <w:iCs/>
        </w:rPr>
        <w:t>All information relating to the proposed or approved commencement period for the development, including but not limited to:</w:t>
      </w:r>
    </w:p>
    <w:p w14:paraId="649FB60F" w14:textId="77777777" w:rsidR="004033C9" w:rsidRPr="004033C9" w:rsidRDefault="004033C9" w:rsidP="004033C9">
      <w:pPr>
        <w:numPr>
          <w:ilvl w:val="0"/>
          <w:numId w:val="8"/>
        </w:numPr>
        <w:rPr>
          <w:rFonts w:ascii="Arial" w:hAnsi="Arial" w:cs="Arial"/>
          <w:i/>
          <w:iCs/>
        </w:rPr>
      </w:pPr>
      <w:r w:rsidRPr="004033C9">
        <w:rPr>
          <w:rFonts w:ascii="Arial" w:hAnsi="Arial" w:cs="Arial"/>
          <w:i/>
          <w:iCs/>
        </w:rPr>
        <w:t>references to “8 years”, “eight years”, “commencement period”, “implementation period”, “time limit”, “Condition 1”, “longstop”, “start date”, “expiry date”, “commencement condition”, “extended commencement”, “phasing” or equivalent wording;</w:t>
      </w:r>
    </w:p>
    <w:p w14:paraId="5E184F30" w14:textId="77777777" w:rsidR="004033C9" w:rsidRPr="004033C9" w:rsidRDefault="004033C9" w:rsidP="004033C9">
      <w:pPr>
        <w:numPr>
          <w:ilvl w:val="0"/>
          <w:numId w:val="8"/>
        </w:numPr>
        <w:rPr>
          <w:rFonts w:ascii="Arial" w:hAnsi="Arial" w:cs="Arial"/>
          <w:i/>
          <w:iCs/>
        </w:rPr>
      </w:pPr>
      <w:r w:rsidRPr="004033C9">
        <w:rPr>
          <w:rFonts w:ascii="Arial" w:hAnsi="Arial" w:cs="Arial"/>
          <w:i/>
          <w:iCs/>
        </w:rPr>
        <w:t>any discussion, request, justification, rationale or assessment for a commencement period longer than the standard three-year period;</w:t>
      </w:r>
    </w:p>
    <w:p w14:paraId="65A2DA4C" w14:textId="77777777" w:rsidR="004033C9" w:rsidRPr="004033C9" w:rsidRDefault="004033C9" w:rsidP="004033C9">
      <w:pPr>
        <w:numPr>
          <w:ilvl w:val="0"/>
          <w:numId w:val="8"/>
        </w:numPr>
        <w:rPr>
          <w:rFonts w:ascii="Arial" w:hAnsi="Arial" w:cs="Arial"/>
          <w:i/>
          <w:iCs/>
        </w:rPr>
      </w:pPr>
      <w:r w:rsidRPr="004033C9">
        <w:rPr>
          <w:rFonts w:ascii="Arial" w:hAnsi="Arial" w:cs="Arial"/>
          <w:i/>
          <w:iCs/>
        </w:rPr>
        <w:lastRenderedPageBreak/>
        <w:t>any comparison with other solar farm permissions (including New Hall or other Wakefield solar developments);</w:t>
      </w:r>
    </w:p>
    <w:p w14:paraId="339D8B19" w14:textId="77777777" w:rsidR="004033C9" w:rsidRPr="004033C9" w:rsidRDefault="004033C9" w:rsidP="004033C9">
      <w:pPr>
        <w:numPr>
          <w:ilvl w:val="0"/>
          <w:numId w:val="8"/>
        </w:numPr>
        <w:rPr>
          <w:rFonts w:ascii="Arial" w:hAnsi="Arial" w:cs="Arial"/>
          <w:i/>
          <w:iCs/>
        </w:rPr>
      </w:pPr>
      <w:r w:rsidRPr="004033C9">
        <w:rPr>
          <w:rFonts w:ascii="Arial" w:hAnsi="Arial" w:cs="Arial"/>
          <w:i/>
          <w:iCs/>
        </w:rPr>
        <w:t>any discussion as to why a longer commencement period was considered necessary, reasonable or justified.</w:t>
      </w:r>
    </w:p>
    <w:p w14:paraId="3DEE10BA" w14:textId="77777777" w:rsidR="004033C9" w:rsidRPr="004033C9" w:rsidRDefault="004033C9" w:rsidP="004033C9">
      <w:pPr>
        <w:numPr>
          <w:ilvl w:val="0"/>
          <w:numId w:val="9"/>
        </w:numPr>
        <w:rPr>
          <w:rFonts w:ascii="Arial" w:hAnsi="Arial" w:cs="Arial"/>
          <w:i/>
          <w:iCs/>
        </w:rPr>
      </w:pPr>
      <w:r w:rsidRPr="004033C9">
        <w:rPr>
          <w:rFonts w:ascii="Arial" w:hAnsi="Arial" w:cs="Arial"/>
          <w:i/>
          <w:iCs/>
        </w:rPr>
        <w:t>Grid connection / energisation / export timing</w:t>
      </w:r>
    </w:p>
    <w:p w14:paraId="710496D2" w14:textId="77777777" w:rsidR="004033C9" w:rsidRPr="004033C9" w:rsidRDefault="004033C9" w:rsidP="004033C9">
      <w:pPr>
        <w:rPr>
          <w:rFonts w:ascii="Arial" w:hAnsi="Arial" w:cs="Arial"/>
          <w:i/>
          <w:iCs/>
        </w:rPr>
      </w:pPr>
      <w:r w:rsidRPr="004033C9">
        <w:rPr>
          <w:rFonts w:ascii="Arial" w:hAnsi="Arial" w:cs="Arial"/>
          <w:i/>
          <w:iCs/>
        </w:rPr>
        <w:t>All information relating to grid connection timing, energisation, export date or delay to connection, including but not limited to references to:</w:t>
      </w:r>
    </w:p>
    <w:p w14:paraId="581ADBAA" w14:textId="77777777" w:rsidR="004033C9" w:rsidRPr="004033C9" w:rsidRDefault="004033C9" w:rsidP="004033C9">
      <w:pPr>
        <w:numPr>
          <w:ilvl w:val="0"/>
          <w:numId w:val="10"/>
        </w:numPr>
        <w:rPr>
          <w:rFonts w:ascii="Arial" w:hAnsi="Arial" w:cs="Arial"/>
          <w:i/>
          <w:iCs/>
        </w:rPr>
      </w:pPr>
      <w:r w:rsidRPr="004033C9">
        <w:rPr>
          <w:rFonts w:ascii="Arial" w:hAnsi="Arial" w:cs="Arial"/>
          <w:i/>
          <w:iCs/>
        </w:rPr>
        <w:t>“grid connection”;</w:t>
      </w:r>
    </w:p>
    <w:p w14:paraId="1969FFD2" w14:textId="77777777" w:rsidR="004033C9" w:rsidRPr="004033C9" w:rsidRDefault="004033C9" w:rsidP="004033C9">
      <w:pPr>
        <w:numPr>
          <w:ilvl w:val="0"/>
          <w:numId w:val="10"/>
        </w:numPr>
        <w:rPr>
          <w:rFonts w:ascii="Arial" w:hAnsi="Arial" w:cs="Arial"/>
          <w:i/>
          <w:iCs/>
        </w:rPr>
      </w:pPr>
      <w:r w:rsidRPr="004033C9">
        <w:rPr>
          <w:rFonts w:ascii="Arial" w:hAnsi="Arial" w:cs="Arial"/>
          <w:i/>
          <w:iCs/>
        </w:rPr>
        <w:t>“connection date”;</w:t>
      </w:r>
    </w:p>
    <w:p w14:paraId="1287E6D2" w14:textId="77777777" w:rsidR="004033C9" w:rsidRPr="004033C9" w:rsidRDefault="004033C9" w:rsidP="004033C9">
      <w:pPr>
        <w:numPr>
          <w:ilvl w:val="0"/>
          <w:numId w:val="10"/>
        </w:numPr>
        <w:rPr>
          <w:rFonts w:ascii="Arial" w:hAnsi="Arial" w:cs="Arial"/>
          <w:i/>
          <w:iCs/>
        </w:rPr>
      </w:pPr>
      <w:r w:rsidRPr="004033C9">
        <w:rPr>
          <w:rFonts w:ascii="Arial" w:hAnsi="Arial" w:cs="Arial"/>
          <w:i/>
          <w:iCs/>
        </w:rPr>
        <w:t>“energisation” / “energization”;</w:t>
      </w:r>
    </w:p>
    <w:p w14:paraId="02AEBD5E" w14:textId="77777777" w:rsidR="004033C9" w:rsidRPr="004033C9" w:rsidRDefault="004033C9" w:rsidP="004033C9">
      <w:pPr>
        <w:numPr>
          <w:ilvl w:val="0"/>
          <w:numId w:val="10"/>
        </w:numPr>
        <w:rPr>
          <w:rFonts w:ascii="Arial" w:hAnsi="Arial" w:cs="Arial"/>
          <w:i/>
          <w:iCs/>
        </w:rPr>
      </w:pPr>
      <w:r w:rsidRPr="004033C9">
        <w:rPr>
          <w:rFonts w:ascii="Arial" w:hAnsi="Arial" w:cs="Arial"/>
          <w:i/>
          <w:iCs/>
        </w:rPr>
        <w:t>“export date”;</w:t>
      </w:r>
    </w:p>
    <w:p w14:paraId="04A35FAC" w14:textId="77777777" w:rsidR="004033C9" w:rsidRPr="004033C9" w:rsidRDefault="004033C9" w:rsidP="004033C9">
      <w:pPr>
        <w:numPr>
          <w:ilvl w:val="0"/>
          <w:numId w:val="10"/>
        </w:numPr>
        <w:rPr>
          <w:rFonts w:ascii="Arial" w:hAnsi="Arial" w:cs="Arial"/>
          <w:i/>
          <w:iCs/>
        </w:rPr>
      </w:pPr>
      <w:r w:rsidRPr="004033C9">
        <w:rPr>
          <w:rFonts w:ascii="Arial" w:hAnsi="Arial" w:cs="Arial"/>
          <w:i/>
          <w:iCs/>
        </w:rPr>
        <w:t>“National Grid”;</w:t>
      </w:r>
    </w:p>
    <w:p w14:paraId="0A99F686" w14:textId="77777777" w:rsidR="004033C9" w:rsidRPr="004033C9" w:rsidRDefault="004033C9" w:rsidP="004033C9">
      <w:pPr>
        <w:numPr>
          <w:ilvl w:val="0"/>
          <w:numId w:val="10"/>
        </w:numPr>
        <w:rPr>
          <w:rFonts w:ascii="Arial" w:hAnsi="Arial" w:cs="Arial"/>
          <w:i/>
          <w:iCs/>
        </w:rPr>
      </w:pPr>
      <w:r w:rsidRPr="004033C9">
        <w:rPr>
          <w:rFonts w:ascii="Arial" w:hAnsi="Arial" w:cs="Arial"/>
          <w:i/>
          <w:iCs/>
        </w:rPr>
        <w:t>“NESO”;</w:t>
      </w:r>
    </w:p>
    <w:p w14:paraId="4F931D27" w14:textId="77777777" w:rsidR="004033C9" w:rsidRPr="004033C9" w:rsidRDefault="004033C9" w:rsidP="004033C9">
      <w:pPr>
        <w:numPr>
          <w:ilvl w:val="0"/>
          <w:numId w:val="10"/>
        </w:numPr>
        <w:rPr>
          <w:rFonts w:ascii="Arial" w:hAnsi="Arial" w:cs="Arial"/>
          <w:i/>
          <w:iCs/>
        </w:rPr>
      </w:pPr>
      <w:r w:rsidRPr="004033C9">
        <w:rPr>
          <w:rFonts w:ascii="Arial" w:hAnsi="Arial" w:cs="Arial"/>
          <w:i/>
          <w:iCs/>
        </w:rPr>
        <w:t>“grid reform”;</w:t>
      </w:r>
    </w:p>
    <w:p w14:paraId="59D251BD" w14:textId="77777777" w:rsidR="004033C9" w:rsidRPr="004033C9" w:rsidRDefault="004033C9" w:rsidP="004033C9">
      <w:pPr>
        <w:numPr>
          <w:ilvl w:val="0"/>
          <w:numId w:val="10"/>
        </w:numPr>
        <w:rPr>
          <w:rFonts w:ascii="Arial" w:hAnsi="Arial" w:cs="Arial"/>
          <w:i/>
          <w:iCs/>
        </w:rPr>
      </w:pPr>
      <w:r w:rsidRPr="004033C9">
        <w:rPr>
          <w:rFonts w:ascii="Arial" w:hAnsi="Arial" w:cs="Arial"/>
          <w:i/>
          <w:iCs/>
        </w:rPr>
        <w:t>“queue”;</w:t>
      </w:r>
    </w:p>
    <w:p w14:paraId="74969A2C" w14:textId="77777777" w:rsidR="004033C9" w:rsidRPr="004033C9" w:rsidRDefault="004033C9" w:rsidP="004033C9">
      <w:pPr>
        <w:numPr>
          <w:ilvl w:val="0"/>
          <w:numId w:val="10"/>
        </w:numPr>
        <w:rPr>
          <w:rFonts w:ascii="Arial" w:hAnsi="Arial" w:cs="Arial"/>
          <w:i/>
          <w:iCs/>
        </w:rPr>
      </w:pPr>
      <w:r w:rsidRPr="004033C9">
        <w:rPr>
          <w:rFonts w:ascii="Arial" w:hAnsi="Arial" w:cs="Arial"/>
          <w:i/>
          <w:iCs/>
        </w:rPr>
        <w:t>“constraint”;</w:t>
      </w:r>
    </w:p>
    <w:p w14:paraId="50A57402" w14:textId="77777777" w:rsidR="004033C9" w:rsidRPr="004033C9" w:rsidRDefault="004033C9" w:rsidP="004033C9">
      <w:pPr>
        <w:numPr>
          <w:ilvl w:val="0"/>
          <w:numId w:val="10"/>
        </w:numPr>
        <w:rPr>
          <w:rFonts w:ascii="Arial" w:hAnsi="Arial" w:cs="Arial"/>
          <w:i/>
          <w:iCs/>
        </w:rPr>
      </w:pPr>
      <w:r w:rsidRPr="004033C9">
        <w:rPr>
          <w:rFonts w:ascii="Arial" w:hAnsi="Arial" w:cs="Arial"/>
          <w:i/>
          <w:iCs/>
        </w:rPr>
        <w:t>“capacity”;</w:t>
      </w:r>
    </w:p>
    <w:p w14:paraId="76604B76" w14:textId="77777777" w:rsidR="004033C9" w:rsidRPr="004033C9" w:rsidRDefault="004033C9" w:rsidP="004033C9">
      <w:pPr>
        <w:numPr>
          <w:ilvl w:val="0"/>
          <w:numId w:val="10"/>
        </w:numPr>
        <w:rPr>
          <w:rFonts w:ascii="Arial" w:hAnsi="Arial" w:cs="Arial"/>
          <w:i/>
          <w:iCs/>
        </w:rPr>
      </w:pPr>
      <w:r w:rsidRPr="004033C9">
        <w:rPr>
          <w:rFonts w:ascii="Arial" w:hAnsi="Arial" w:cs="Arial"/>
          <w:i/>
          <w:iCs/>
        </w:rPr>
        <w:t>“Woolley Grange” substation;</w:t>
      </w:r>
    </w:p>
    <w:p w14:paraId="673BECCB" w14:textId="77777777" w:rsidR="004033C9" w:rsidRPr="004033C9" w:rsidRDefault="004033C9" w:rsidP="004033C9">
      <w:pPr>
        <w:numPr>
          <w:ilvl w:val="0"/>
          <w:numId w:val="10"/>
        </w:numPr>
        <w:rPr>
          <w:rFonts w:ascii="Arial" w:hAnsi="Arial" w:cs="Arial"/>
          <w:i/>
          <w:iCs/>
        </w:rPr>
      </w:pPr>
      <w:r w:rsidRPr="004033C9">
        <w:rPr>
          <w:rFonts w:ascii="Arial" w:hAnsi="Arial" w:cs="Arial"/>
          <w:i/>
          <w:iCs/>
        </w:rPr>
        <w:t>“31 October 2034” (or similar dates);</w:t>
      </w:r>
    </w:p>
    <w:p w14:paraId="00F81C90" w14:textId="77777777" w:rsidR="004033C9" w:rsidRPr="004033C9" w:rsidRDefault="004033C9" w:rsidP="004033C9">
      <w:pPr>
        <w:numPr>
          <w:ilvl w:val="0"/>
          <w:numId w:val="10"/>
        </w:numPr>
        <w:rPr>
          <w:rFonts w:ascii="Arial" w:hAnsi="Arial" w:cs="Arial"/>
          <w:i/>
          <w:iCs/>
        </w:rPr>
      </w:pPr>
      <w:r w:rsidRPr="004033C9">
        <w:rPr>
          <w:rFonts w:ascii="Arial" w:hAnsi="Arial" w:cs="Arial"/>
          <w:i/>
          <w:iCs/>
        </w:rPr>
        <w:t>anticipated connection delay, deferred connection, or inability to commence/operate due to grid constraints.</w:t>
      </w:r>
    </w:p>
    <w:p w14:paraId="496C7A9B" w14:textId="77777777" w:rsidR="004033C9" w:rsidRPr="004033C9" w:rsidRDefault="004033C9" w:rsidP="004033C9">
      <w:pPr>
        <w:numPr>
          <w:ilvl w:val="0"/>
          <w:numId w:val="11"/>
        </w:numPr>
        <w:rPr>
          <w:rFonts w:ascii="Arial" w:hAnsi="Arial" w:cs="Arial"/>
          <w:i/>
          <w:iCs/>
        </w:rPr>
      </w:pPr>
      <w:r w:rsidRPr="004033C9">
        <w:rPr>
          <w:rFonts w:ascii="Arial" w:hAnsi="Arial" w:cs="Arial"/>
          <w:i/>
          <w:iCs/>
        </w:rPr>
        <w:t>Officer/applicant discussions linking grid timing to commencement period</w:t>
      </w:r>
    </w:p>
    <w:p w14:paraId="61A87249" w14:textId="77777777" w:rsidR="004033C9" w:rsidRPr="004033C9" w:rsidRDefault="004033C9" w:rsidP="004033C9">
      <w:pPr>
        <w:rPr>
          <w:rFonts w:ascii="Arial" w:hAnsi="Arial" w:cs="Arial"/>
          <w:i/>
          <w:iCs/>
        </w:rPr>
      </w:pPr>
      <w:r w:rsidRPr="004033C9">
        <w:rPr>
          <w:rFonts w:ascii="Arial" w:hAnsi="Arial" w:cs="Arial"/>
          <w:i/>
          <w:iCs/>
        </w:rPr>
        <w:t>All information concerning any relationship between the proposed commencement period and grid connection timing, including discussions of whether a longer implementation period was required because of grid connection uncertainty, delay or dependency on third-party infrastructure.</w:t>
      </w:r>
    </w:p>
    <w:p w14:paraId="163547FE" w14:textId="77777777" w:rsidR="004033C9" w:rsidRPr="004033C9" w:rsidRDefault="004033C9" w:rsidP="004033C9">
      <w:pPr>
        <w:rPr>
          <w:rFonts w:ascii="Arial" w:hAnsi="Arial" w:cs="Arial"/>
          <w:i/>
          <w:iCs/>
        </w:rPr>
      </w:pPr>
      <w:r w:rsidRPr="004033C9">
        <w:rPr>
          <w:rFonts w:ascii="Arial" w:hAnsi="Arial" w:cs="Arial"/>
          <w:i/>
          <w:iCs/>
        </w:rPr>
        <w:t>For avoidance of doubt, this request includes:</w:t>
      </w:r>
    </w:p>
    <w:p w14:paraId="15179D37" w14:textId="77777777" w:rsidR="004033C9" w:rsidRPr="004033C9" w:rsidRDefault="004033C9" w:rsidP="004033C9">
      <w:pPr>
        <w:numPr>
          <w:ilvl w:val="0"/>
          <w:numId w:val="12"/>
        </w:numPr>
        <w:rPr>
          <w:rFonts w:ascii="Arial" w:hAnsi="Arial" w:cs="Arial"/>
          <w:i/>
          <w:iCs/>
        </w:rPr>
      </w:pPr>
      <w:r w:rsidRPr="004033C9">
        <w:rPr>
          <w:rFonts w:ascii="Arial" w:hAnsi="Arial" w:cs="Arial"/>
          <w:i/>
          <w:iCs/>
        </w:rPr>
        <w:t>correspondence between Wakefield Council officers and the applicant, agent, consultants or statutory consultees;</w:t>
      </w:r>
    </w:p>
    <w:p w14:paraId="45F6F476" w14:textId="77777777" w:rsidR="004033C9" w:rsidRPr="004033C9" w:rsidRDefault="004033C9" w:rsidP="004033C9">
      <w:pPr>
        <w:numPr>
          <w:ilvl w:val="0"/>
          <w:numId w:val="12"/>
        </w:numPr>
        <w:rPr>
          <w:rFonts w:ascii="Arial" w:hAnsi="Arial" w:cs="Arial"/>
          <w:i/>
          <w:iCs/>
        </w:rPr>
      </w:pPr>
      <w:r w:rsidRPr="004033C9">
        <w:rPr>
          <w:rFonts w:ascii="Arial" w:hAnsi="Arial" w:cs="Arial"/>
          <w:i/>
          <w:iCs/>
        </w:rPr>
        <w:t>internal officer correspondence and discussions;</w:t>
      </w:r>
    </w:p>
    <w:p w14:paraId="2E0D3686" w14:textId="77777777" w:rsidR="004033C9" w:rsidRPr="004033C9" w:rsidRDefault="004033C9" w:rsidP="004033C9">
      <w:pPr>
        <w:numPr>
          <w:ilvl w:val="0"/>
          <w:numId w:val="12"/>
        </w:numPr>
        <w:rPr>
          <w:rFonts w:ascii="Arial" w:hAnsi="Arial" w:cs="Arial"/>
          <w:i/>
          <w:iCs/>
        </w:rPr>
      </w:pPr>
      <w:r w:rsidRPr="004033C9">
        <w:rPr>
          <w:rFonts w:ascii="Arial" w:hAnsi="Arial" w:cs="Arial"/>
          <w:i/>
          <w:iCs/>
        </w:rPr>
        <w:t>draft committee reports, draft conditions and tracked changes;</w:t>
      </w:r>
    </w:p>
    <w:p w14:paraId="4BF17C7C" w14:textId="77777777" w:rsidR="004033C9" w:rsidRPr="004033C9" w:rsidRDefault="004033C9" w:rsidP="004033C9">
      <w:pPr>
        <w:numPr>
          <w:ilvl w:val="0"/>
          <w:numId w:val="12"/>
        </w:numPr>
        <w:rPr>
          <w:rFonts w:ascii="Arial" w:hAnsi="Arial" w:cs="Arial"/>
          <w:i/>
          <w:iCs/>
        </w:rPr>
      </w:pPr>
      <w:r w:rsidRPr="004033C9">
        <w:rPr>
          <w:rFonts w:ascii="Arial" w:hAnsi="Arial" w:cs="Arial"/>
          <w:i/>
          <w:iCs/>
        </w:rPr>
        <w:t>meeting notes, file notes, Teams chats/messages and calendar meeting records where substantive discussion took place.</w:t>
      </w:r>
    </w:p>
    <w:p w14:paraId="7DA084DA" w14:textId="77777777" w:rsidR="00A304DC" w:rsidRDefault="00A304DC" w:rsidP="000266AD">
      <w:pPr>
        <w:rPr>
          <w:rFonts w:ascii="Arial" w:hAnsi="Arial" w:cs="Arial"/>
        </w:rPr>
      </w:pPr>
    </w:p>
    <w:p w14:paraId="62DE7A62" w14:textId="134D6947" w:rsidR="00A304DC" w:rsidRPr="000266AD" w:rsidRDefault="00640C4C" w:rsidP="000266AD">
      <w:pPr>
        <w:rPr>
          <w:rFonts w:ascii="Arial" w:hAnsi="Arial" w:cs="Arial"/>
        </w:rPr>
      </w:pPr>
      <w:r>
        <w:rPr>
          <w:rFonts w:ascii="Arial" w:hAnsi="Arial" w:cs="Arial"/>
        </w:rPr>
        <w:t xml:space="preserve">Please see attached documentation. </w:t>
      </w:r>
      <w:r w:rsidR="00F70401">
        <w:rPr>
          <w:rFonts w:ascii="Arial" w:hAnsi="Arial" w:cs="Arial"/>
        </w:rPr>
        <w:t>All further information is available on the Public Access Site Planning Portal.</w:t>
      </w:r>
      <w:r w:rsidR="005A7F2E" w:rsidRPr="005A7F2E">
        <w:t xml:space="preserve"> </w:t>
      </w:r>
      <w:hyperlink r:id="rId14" w:history="1">
        <w:r w:rsidR="005A7F2E" w:rsidRPr="005A7F2E">
          <w:rPr>
            <w:rStyle w:val="Hyperlink"/>
            <w:rFonts w:ascii="Arial" w:hAnsi="Arial" w:cs="Arial"/>
          </w:rPr>
          <w:t>Simple Search</w:t>
        </w:r>
      </w:hyperlink>
    </w:p>
    <w:p w14:paraId="637BDF0C" w14:textId="77777777" w:rsidR="000266AD" w:rsidRDefault="000266AD" w:rsidP="000266AD">
      <w:pPr>
        <w:rPr>
          <w:rFonts w:ascii="Arial" w:hAnsi="Arial" w:cs="Arial"/>
          <w:color w:val="215E99"/>
        </w:rPr>
      </w:pPr>
      <w:r w:rsidRPr="000266AD">
        <w:rPr>
          <w:rFonts w:ascii="Arial" w:hAnsi="Arial" w:cs="Arial"/>
        </w:rPr>
        <w:t> </w:t>
      </w:r>
    </w:p>
    <w:p w14:paraId="37FDFFA9" w14:textId="03AD3386" w:rsidR="00A304DC" w:rsidRDefault="00A304DC" w:rsidP="000266AD">
      <w:pPr>
        <w:rPr>
          <w:rFonts w:ascii="Arial" w:hAnsi="Arial" w:cs="Arial"/>
          <w:b/>
          <w:bCs/>
          <w:color w:val="215E99"/>
          <w:u w:val="single"/>
        </w:rPr>
      </w:pPr>
      <w:r>
        <w:rPr>
          <w:rFonts w:ascii="Arial" w:hAnsi="Arial" w:cs="Arial"/>
          <w:b/>
          <w:bCs/>
          <w:color w:val="215E99"/>
          <w:u w:val="single"/>
        </w:rPr>
        <w:t>Notice</w:t>
      </w:r>
    </w:p>
    <w:p w14:paraId="677DF10A" w14:textId="77777777" w:rsidR="00A304DC" w:rsidRDefault="00A304DC" w:rsidP="00A304DC">
      <w:pPr>
        <w:rPr>
          <w:rFonts w:ascii="Arial" w:hAnsi="Arial" w:cs="Arial"/>
          <w:color w:val="215E99"/>
        </w:rPr>
      </w:pPr>
      <w:r>
        <w:rPr>
          <w:rFonts w:ascii="Arial" w:hAnsi="Arial" w:cs="Arial"/>
          <w:color w:val="215E99"/>
        </w:rPr>
        <w:t xml:space="preserve">I would respectfully advise you that we have redacted any content which could serve to identify third parties. We believe that such information is exempt in line with regulations 12 (3) and 13 of the EIR. </w:t>
      </w:r>
    </w:p>
    <w:p w14:paraId="6594EC2A" w14:textId="77777777" w:rsidR="00A304DC" w:rsidRDefault="00A304DC" w:rsidP="00A304DC">
      <w:pPr>
        <w:rPr>
          <w:rFonts w:ascii="Arial" w:hAnsi="Arial" w:cs="Arial"/>
          <w:color w:val="215E99"/>
        </w:rPr>
      </w:pPr>
    </w:p>
    <w:p w14:paraId="1D34F7CD" w14:textId="77777777" w:rsidR="00A304DC" w:rsidRDefault="00A304DC" w:rsidP="00A304DC">
      <w:pPr>
        <w:rPr>
          <w:rFonts w:ascii="Arial" w:hAnsi="Arial" w:cs="Arial"/>
          <w:color w:val="215E99"/>
          <w:lang w:val="en"/>
        </w:rPr>
      </w:pPr>
      <w:r>
        <w:rPr>
          <w:rFonts w:ascii="Arial" w:hAnsi="Arial" w:cs="Arial"/>
          <w:color w:val="215E99"/>
        </w:rPr>
        <w:t xml:space="preserve">Regulation 12 (3) and regulation 13 of the EIR relate to </w:t>
      </w:r>
      <w:r>
        <w:rPr>
          <w:rFonts w:ascii="Arial" w:hAnsi="Arial" w:cs="Arial"/>
          <w:color w:val="215E99"/>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14134692" w14:textId="77777777" w:rsidR="00A304DC" w:rsidRDefault="00A304DC" w:rsidP="00A304DC">
      <w:pPr>
        <w:rPr>
          <w:rFonts w:ascii="Arial" w:hAnsi="Arial" w:cs="Arial"/>
          <w:color w:val="215E99"/>
          <w:lang w:val="en"/>
        </w:rPr>
      </w:pPr>
    </w:p>
    <w:p w14:paraId="42871360" w14:textId="77777777" w:rsidR="00A304DC" w:rsidRDefault="00A304DC" w:rsidP="00A304DC">
      <w:pPr>
        <w:rPr>
          <w:rFonts w:ascii="Arial" w:hAnsi="Arial" w:cs="Arial"/>
          <w:color w:val="215E99"/>
          <w:lang w:val="en-US"/>
        </w:rPr>
      </w:pPr>
      <w:r>
        <w:rPr>
          <w:rFonts w:ascii="Arial" w:hAnsi="Arial" w:cs="Arial"/>
          <w:color w:val="215E99"/>
          <w:lang w:val="en-US"/>
        </w:rPr>
        <w:t xml:space="preserve">Regulation 12(3) requires us not to disclose that personal data, except in accordance with regulation 13. Regulation 13 prohibits us from disclosing third party personal data if this would breach the Data Protection Act. In this instance we believe that disclosure would breach the first data protection principle, which states that personal data must be processed fairly and lawfully. Under this principle, and in accordance with guidance provided by the Information </w:t>
      </w:r>
      <w:r>
        <w:rPr>
          <w:rFonts w:ascii="Arial" w:hAnsi="Arial" w:cs="Arial"/>
          <w:color w:val="215E99"/>
          <w:lang w:val="en-US"/>
        </w:rPr>
        <w:lastRenderedPageBreak/>
        <w:t>Commissioner’s Office, the Authority “must not use such data in ways that have unjustified adverse effects on the individual(s) concerned, and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were disclosure to be made.</w:t>
      </w:r>
    </w:p>
    <w:p w14:paraId="602FB582" w14:textId="77777777" w:rsidR="00A304DC" w:rsidRDefault="00A304DC" w:rsidP="000266AD">
      <w:pPr>
        <w:rPr>
          <w:rFonts w:ascii="Arial" w:hAnsi="Arial" w:cs="Arial"/>
          <w:color w:val="215E99"/>
        </w:rPr>
      </w:pPr>
    </w:p>
    <w:p w14:paraId="260A71D2" w14:textId="2645D601" w:rsidR="000266AD" w:rsidRPr="000266AD" w:rsidRDefault="000266AD" w:rsidP="000266AD">
      <w:pPr>
        <w:rPr>
          <w:rFonts w:ascii="Arial" w:hAnsi="Arial" w:cs="Arial"/>
        </w:rPr>
      </w:pPr>
      <w:r w:rsidRPr="000266AD">
        <w:rPr>
          <w:rFonts w:ascii="Arial" w:hAnsi="Arial" w:cs="Arial"/>
        </w:rPr>
        <w:t> </w:t>
      </w: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6"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2D8B" w14:textId="77777777" w:rsidR="001F60AD" w:rsidRDefault="001F60AD">
      <w:r>
        <w:separator/>
      </w:r>
    </w:p>
  </w:endnote>
  <w:endnote w:type="continuationSeparator" w:id="0">
    <w:p w14:paraId="36F71571" w14:textId="77777777" w:rsidR="001F60AD" w:rsidRDefault="001F6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000000">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000000">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D0A2F" w14:textId="77777777" w:rsidR="001F60AD" w:rsidRDefault="001F60AD">
      <w:r>
        <w:separator/>
      </w:r>
    </w:p>
  </w:footnote>
  <w:footnote w:type="continuationSeparator" w:id="0">
    <w:p w14:paraId="7ABF0CE3" w14:textId="77777777" w:rsidR="001F60AD" w:rsidRDefault="001F6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000000">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5C66"/>
    <w:multiLevelType w:val="multilevel"/>
    <w:tmpl w:val="0096FA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431CB3"/>
    <w:multiLevelType w:val="multilevel"/>
    <w:tmpl w:val="8C9EF3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42D6B"/>
    <w:multiLevelType w:val="multilevel"/>
    <w:tmpl w:val="5B2E5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0C6723"/>
    <w:multiLevelType w:val="multilevel"/>
    <w:tmpl w:val="14126C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B90D22"/>
    <w:multiLevelType w:val="multilevel"/>
    <w:tmpl w:val="2B7CAB0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E3879DC"/>
    <w:multiLevelType w:val="multilevel"/>
    <w:tmpl w:val="9EE2DE4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57499004">
    <w:abstractNumId w:val="4"/>
  </w:num>
  <w:num w:numId="2" w16cid:durableId="78450097">
    <w:abstractNumId w:val="5"/>
  </w:num>
  <w:num w:numId="3" w16cid:durableId="1642543280">
    <w:abstractNumId w:val="6"/>
  </w:num>
  <w:num w:numId="4" w16cid:durableId="1882744310">
    <w:abstractNumId w:val="9"/>
  </w:num>
  <w:num w:numId="5" w16cid:durableId="1843466584">
    <w:abstractNumId w:val="3"/>
  </w:num>
  <w:num w:numId="6" w16cid:durableId="592857901">
    <w:abstractNumId w:val="7"/>
  </w:num>
  <w:num w:numId="7" w16cid:durableId="428963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2012680">
    <w:abstractNumId w:val="1"/>
    <w:lvlOverride w:ilvl="0"/>
    <w:lvlOverride w:ilvl="1"/>
    <w:lvlOverride w:ilvl="2"/>
    <w:lvlOverride w:ilvl="3"/>
    <w:lvlOverride w:ilvl="4"/>
    <w:lvlOverride w:ilvl="5"/>
    <w:lvlOverride w:ilvl="6"/>
    <w:lvlOverride w:ilvl="7"/>
    <w:lvlOverride w:ilvl="8"/>
  </w:num>
  <w:num w:numId="9" w16cid:durableId="137947719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5525054">
    <w:abstractNumId w:val="2"/>
    <w:lvlOverride w:ilvl="0"/>
    <w:lvlOverride w:ilvl="1"/>
    <w:lvlOverride w:ilvl="2"/>
    <w:lvlOverride w:ilvl="3"/>
    <w:lvlOverride w:ilvl="4"/>
    <w:lvlOverride w:ilvl="5"/>
    <w:lvlOverride w:ilvl="6"/>
    <w:lvlOverride w:ilvl="7"/>
    <w:lvlOverride w:ilvl="8"/>
  </w:num>
  <w:num w:numId="11" w16cid:durableId="69659037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7692485">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1F60AD"/>
    <w:rsid w:val="00200994"/>
    <w:rsid w:val="002165CC"/>
    <w:rsid w:val="00226169"/>
    <w:rsid w:val="00251F01"/>
    <w:rsid w:val="00256E92"/>
    <w:rsid w:val="002674F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33C9"/>
    <w:rsid w:val="0040622E"/>
    <w:rsid w:val="00410B31"/>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5F7A"/>
    <w:rsid w:val="00586F70"/>
    <w:rsid w:val="0059505F"/>
    <w:rsid w:val="0059527B"/>
    <w:rsid w:val="00597465"/>
    <w:rsid w:val="005A7F2E"/>
    <w:rsid w:val="005C1E7E"/>
    <w:rsid w:val="005C41A7"/>
    <w:rsid w:val="005D5D31"/>
    <w:rsid w:val="005E6CB8"/>
    <w:rsid w:val="005E7EEF"/>
    <w:rsid w:val="005F1413"/>
    <w:rsid w:val="00626598"/>
    <w:rsid w:val="00631860"/>
    <w:rsid w:val="00640C4C"/>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04DC"/>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34371"/>
    <w:rsid w:val="00C3489D"/>
    <w:rsid w:val="00C51CD4"/>
    <w:rsid w:val="00C53D16"/>
    <w:rsid w:val="00C60038"/>
    <w:rsid w:val="00C653B4"/>
    <w:rsid w:val="00C67250"/>
    <w:rsid w:val="00CA09F7"/>
    <w:rsid w:val="00CA247B"/>
    <w:rsid w:val="00CA6CC6"/>
    <w:rsid w:val="00CB5B11"/>
    <w:rsid w:val="00CE0781"/>
    <w:rsid w:val="00CE0DA2"/>
    <w:rsid w:val="00CE50E3"/>
    <w:rsid w:val="00CE78DA"/>
    <w:rsid w:val="00D04B22"/>
    <w:rsid w:val="00D057C6"/>
    <w:rsid w:val="00D24234"/>
    <w:rsid w:val="00D31651"/>
    <w:rsid w:val="00D34EC2"/>
    <w:rsid w:val="00D6738C"/>
    <w:rsid w:val="00D77CDA"/>
    <w:rsid w:val="00D84BF8"/>
    <w:rsid w:val="00D93CE9"/>
    <w:rsid w:val="00DA18D9"/>
    <w:rsid w:val="00DA6B1F"/>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A29D1"/>
    <w:rsid w:val="00EB10B0"/>
    <w:rsid w:val="00EC3EB1"/>
    <w:rsid w:val="00ED58A1"/>
    <w:rsid w:val="00EE43FC"/>
    <w:rsid w:val="00EF0A57"/>
    <w:rsid w:val="00F0113E"/>
    <w:rsid w:val="00F12060"/>
    <w:rsid w:val="00F139AD"/>
    <w:rsid w:val="00F341A5"/>
    <w:rsid w:val="00F42088"/>
    <w:rsid w:val="00F611AD"/>
    <w:rsid w:val="00F63B31"/>
    <w:rsid w:val="00F652F4"/>
    <w:rsid w:val="00F70401"/>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lanning.wakefield.gov.uk/online-application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3.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4.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5957</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11</cp:revision>
  <dcterms:created xsi:type="dcterms:W3CDTF">2026-04-30T13:54:00Z</dcterms:created>
  <dcterms:modified xsi:type="dcterms:W3CDTF">2026-07-03T09:52:00Z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